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jc w:val="both"/>
        <w:rPr>
          <w:rFonts w:hint="eastAsia" w:eastAsia="方正小标宋简体" w:cs="Times New Roman"/>
          <w:b w:val="0"/>
          <w:bCs w:val="0"/>
          <w:sz w:val="32"/>
          <w:szCs w:val="32"/>
          <w:lang w:eastAsia="zh-CN"/>
        </w:rPr>
      </w:pPr>
      <w:bookmarkStart w:id="0" w:name="_GoBack"/>
      <w:r>
        <w:rPr>
          <w:rFonts w:hint="eastAsia" w:eastAsia="方正小标宋简体" w:cs="Times New Roman"/>
          <w:b w:val="0"/>
          <w:bCs w:val="0"/>
          <w:sz w:val="32"/>
          <w:szCs w:val="32"/>
          <w:lang w:eastAsia="zh-CN"/>
        </w:rPr>
        <w:t>附件</w:t>
      </w:r>
      <w:r>
        <w:rPr>
          <w:rFonts w:hint="eastAsia" w:eastAsia="方正小标宋简体" w:cs="Times New Roman"/>
          <w:b w:val="0"/>
          <w:bCs w:val="0"/>
          <w:sz w:val="32"/>
          <w:szCs w:val="32"/>
          <w:lang w:val="en-US" w:eastAsia="zh-CN"/>
        </w:rPr>
        <w:t>3</w:t>
      </w:r>
    </w:p>
    <w:bookmarkEnd w:id="0"/>
    <w:p>
      <w:pPr>
        <w:spacing w:line="580" w:lineRule="exact"/>
        <w:jc w:val="center"/>
        <w:rPr>
          <w:rFonts w:ascii="Times New Roman" w:hAnsi="Times New Roman" w:eastAsia="方正小标宋简体" w:cs="Times New Roman"/>
          <w:sz w:val="44"/>
          <w:szCs w:val="44"/>
        </w:rPr>
      </w:pPr>
      <w:r>
        <w:rPr>
          <w:rFonts w:hint="eastAsia" w:eastAsia="方正小标宋简体" w:cs="Times New Roman"/>
          <w:sz w:val="44"/>
          <w:szCs w:val="44"/>
          <w:lang w:eastAsia="zh-CN"/>
        </w:rPr>
        <w:t>河源市</w:t>
      </w:r>
      <w:r>
        <w:rPr>
          <w:rFonts w:ascii="Times New Roman" w:hAnsi="Times New Roman" w:eastAsia="方正小标宋简体" w:cs="Times New Roman"/>
          <w:sz w:val="44"/>
          <w:szCs w:val="44"/>
        </w:rPr>
        <w:t>市场监督管理局信用修复措施清单</w:t>
      </w:r>
    </w:p>
    <w:p>
      <w:pPr>
        <w:widowControl w:val="0"/>
        <w:wordWrap/>
        <w:adjustRightInd/>
        <w:snapToGrid/>
        <w:spacing w:line="240" w:lineRule="exact"/>
        <w:textAlignment w:val="auto"/>
      </w:pPr>
    </w:p>
    <w:tbl>
      <w:tblPr>
        <w:tblStyle w:val="3"/>
        <w:tblW w:w="14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592"/>
        <w:gridCol w:w="3568"/>
        <w:gridCol w:w="1768"/>
        <w:gridCol w:w="1937"/>
        <w:gridCol w:w="1815"/>
        <w:gridCol w:w="812"/>
        <w:gridCol w:w="1138"/>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rPr>
              <w:t>序号</w:t>
            </w:r>
          </w:p>
        </w:tc>
        <w:tc>
          <w:tcPr>
            <w:tcW w:w="1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kern w:val="0"/>
                <w:sz w:val="22"/>
                <w:szCs w:val="22"/>
                <w:lang/>
              </w:rPr>
            </w:pPr>
            <w:r>
              <w:rPr>
                <w:rFonts w:hint="eastAsia" w:ascii="黑体" w:hAnsi="黑体" w:eastAsia="黑体" w:cs="黑体"/>
                <w:b w:val="0"/>
                <w:bCs/>
                <w:color w:val="000000"/>
                <w:kern w:val="0"/>
                <w:sz w:val="22"/>
                <w:szCs w:val="22"/>
                <w:lang/>
              </w:rPr>
              <w:t>信用修复</w:t>
            </w:r>
          </w:p>
          <w:p>
            <w:pPr>
              <w:widowControl/>
              <w:wordWrap/>
              <w:adjustRightInd/>
              <w:snapToGrid/>
              <w:spacing w:line="28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rPr>
              <w:t>事项</w:t>
            </w:r>
          </w:p>
        </w:tc>
        <w:tc>
          <w:tcPr>
            <w:tcW w:w="35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rPr>
              <w:t>信用修复条件</w:t>
            </w:r>
          </w:p>
        </w:tc>
        <w:tc>
          <w:tcPr>
            <w:tcW w:w="1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rPr>
              <w:t>申请主体</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kern w:val="0"/>
                <w:sz w:val="22"/>
                <w:szCs w:val="22"/>
                <w:lang/>
              </w:rPr>
            </w:pPr>
            <w:r>
              <w:rPr>
                <w:rFonts w:hint="eastAsia" w:ascii="黑体" w:hAnsi="黑体" w:eastAsia="黑体" w:cs="黑体"/>
                <w:b w:val="0"/>
                <w:bCs/>
                <w:color w:val="000000"/>
                <w:kern w:val="0"/>
                <w:sz w:val="22"/>
                <w:szCs w:val="22"/>
                <w:lang/>
              </w:rPr>
              <w:t>申请材料</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rPr>
              <w:t>政策依据</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kern w:val="0"/>
                <w:sz w:val="22"/>
                <w:szCs w:val="22"/>
                <w:lang/>
              </w:rPr>
            </w:pPr>
            <w:r>
              <w:rPr>
                <w:rFonts w:hint="eastAsia" w:ascii="黑体" w:hAnsi="黑体" w:eastAsia="黑体" w:cs="黑体"/>
                <w:b w:val="0"/>
                <w:bCs/>
                <w:color w:val="000000"/>
                <w:kern w:val="0"/>
                <w:sz w:val="22"/>
                <w:szCs w:val="22"/>
                <w:lang/>
              </w:rPr>
              <w:t>修复</w:t>
            </w:r>
          </w:p>
          <w:p>
            <w:pPr>
              <w:widowControl/>
              <w:wordWrap/>
              <w:adjustRightInd/>
              <w:snapToGrid/>
              <w:spacing w:line="28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rPr>
              <w:t>方式</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kern w:val="0"/>
                <w:sz w:val="22"/>
                <w:szCs w:val="22"/>
                <w:lang/>
              </w:rPr>
            </w:pPr>
            <w:r>
              <w:rPr>
                <w:rFonts w:hint="eastAsia" w:ascii="黑体" w:hAnsi="黑体" w:eastAsia="黑体" w:cs="黑体"/>
                <w:b w:val="0"/>
                <w:bCs/>
                <w:color w:val="000000"/>
                <w:kern w:val="0"/>
                <w:sz w:val="22"/>
                <w:szCs w:val="22"/>
                <w:lang/>
              </w:rPr>
              <w:t>实施</w:t>
            </w:r>
          </w:p>
          <w:p>
            <w:pPr>
              <w:widowControl/>
              <w:wordWrap/>
              <w:adjustRightInd/>
              <w:snapToGrid/>
              <w:spacing w:line="280" w:lineRule="exact"/>
              <w:jc w:val="center"/>
              <w:textAlignment w:val="center"/>
              <w:rPr>
                <w:rFonts w:hint="eastAsia" w:ascii="黑体" w:hAnsi="黑体" w:eastAsia="黑体" w:cs="黑体"/>
                <w:b w:val="0"/>
                <w:bCs/>
                <w:color w:val="000000"/>
                <w:kern w:val="0"/>
                <w:sz w:val="22"/>
                <w:szCs w:val="22"/>
                <w:lang/>
              </w:rPr>
            </w:pPr>
            <w:r>
              <w:rPr>
                <w:rFonts w:hint="eastAsia" w:ascii="黑体" w:hAnsi="黑体" w:eastAsia="黑体" w:cs="黑体"/>
                <w:b w:val="0"/>
                <w:bCs/>
                <w:color w:val="000000"/>
                <w:kern w:val="0"/>
                <w:sz w:val="22"/>
                <w:szCs w:val="22"/>
                <w:lang/>
              </w:rPr>
              <w:t>主体</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rPr>
              <w:t>办理期限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8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w:t>
            </w:r>
          </w:p>
        </w:tc>
        <w:tc>
          <w:tcPr>
            <w:tcW w:w="159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依法移出经营异常名录、恢复个体工商户正常记载状态</w:t>
            </w:r>
          </w:p>
        </w:tc>
        <w:tc>
          <w:tcPr>
            <w:tcW w:w="35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符合下列情形之一的：</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1.补报未报年份年度报告并公示；</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2.已经履行即时信息公示义务；</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3.已经更正其隐瞒真实情况、弄虚作假的公示信息；</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4.依法办理住所或者经营场所变更登记，或者当事人提出通过登记的住所或者经营场所可以重新取得联系。</w:t>
            </w:r>
          </w:p>
        </w:tc>
        <w:tc>
          <w:tcPr>
            <w:tcW w:w="17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lang/>
              </w:rPr>
            </w:pPr>
            <w:r>
              <w:rPr>
                <w:rFonts w:ascii="Times New Roman" w:hAnsi="Times New Roman" w:eastAsia="宋体" w:cs="Times New Roman"/>
                <w:iCs/>
                <w:color w:val="000000"/>
                <w:sz w:val="18"/>
                <w:szCs w:val="18"/>
              </w:rPr>
              <w:t>被列入经营异常名录</w:t>
            </w:r>
            <w:r>
              <w:rPr>
                <w:rFonts w:ascii="Times New Roman" w:hAnsi="Times New Roman" w:eastAsia="宋体" w:cs="Times New Roman"/>
                <w:iCs/>
                <w:color w:val="000000"/>
                <w:sz w:val="18"/>
                <w:szCs w:val="18"/>
                <w:lang/>
              </w:rPr>
              <w:t>/标记经营异常状态的当事人</w:t>
            </w:r>
          </w:p>
        </w:tc>
        <w:tc>
          <w:tcPr>
            <w:tcW w:w="193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1.信用修复申请书；</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2.守信承诺书；</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3.履行法定义务、纠正违法行为的相关材料；</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4.国家市场监督管理总局要求提交的其他材料。</w:t>
            </w:r>
          </w:p>
        </w:tc>
        <w:tc>
          <w:tcPr>
            <w:tcW w:w="18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both"/>
              <w:rPr>
                <w:rFonts w:ascii="Times New Roman" w:hAnsi="Times New Roman" w:eastAsia="宋体" w:cs="Times New Roman"/>
                <w:iCs/>
                <w:color w:val="000000"/>
                <w:spacing w:val="-6"/>
                <w:sz w:val="18"/>
                <w:szCs w:val="18"/>
              </w:rPr>
            </w:pPr>
            <w:r>
              <w:rPr>
                <w:rFonts w:ascii="Times New Roman" w:hAnsi="Times New Roman" w:eastAsia="宋体" w:cs="Times New Roman"/>
                <w:iCs/>
                <w:color w:val="000000"/>
                <w:sz w:val="18"/>
                <w:szCs w:val="18"/>
              </w:rPr>
              <w:t>1.《市场监督管理信</w:t>
            </w:r>
            <w:r>
              <w:rPr>
                <w:rFonts w:ascii="Times New Roman" w:hAnsi="Times New Roman" w:eastAsia="宋体" w:cs="Times New Roman"/>
                <w:iCs/>
                <w:color w:val="000000"/>
                <w:spacing w:val="-6"/>
                <w:sz w:val="18"/>
                <w:szCs w:val="18"/>
              </w:rPr>
              <w:t>用修复管理办法》（国市监信规〔2021〕3号）</w:t>
            </w:r>
          </w:p>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2.《企业经营异常名录管理暂行办法》（国家工商行政管理总局令第68号）</w:t>
            </w:r>
          </w:p>
        </w:tc>
        <w:tc>
          <w:tcPr>
            <w:tcW w:w="81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kern w:val="0"/>
                <w:sz w:val="18"/>
                <w:szCs w:val="18"/>
                <w:lang/>
              </w:rPr>
              <w:t>依申请</w:t>
            </w:r>
          </w:p>
        </w:tc>
        <w:tc>
          <w:tcPr>
            <w:tcW w:w="113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作出列入决定的市场监管部门</w:t>
            </w:r>
          </w:p>
        </w:tc>
        <w:tc>
          <w:tcPr>
            <w:tcW w:w="118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满足修复条件1、2为5个工作日；满足修复条件3、4为自查实之日起5个工作日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8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w:t>
            </w:r>
          </w:p>
        </w:tc>
        <w:tc>
          <w:tcPr>
            <w:tcW w:w="159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提前移出严重违法失信名单</w:t>
            </w:r>
          </w:p>
        </w:tc>
        <w:tc>
          <w:tcPr>
            <w:tcW w:w="35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被列入严重违法失信名单满一年，且符合下列情形的：</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1.已经自觉履行行政处罚决定中规定的义务；</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2.已经主动消除危害后果和不良影响；</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3.未再受到市场监督管理部门较重行政处罚。</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依照法律、行政法规规定，实施相应管理措施期限尚未届满的，不得申请提前移出。</w:t>
            </w:r>
          </w:p>
        </w:tc>
        <w:tc>
          <w:tcPr>
            <w:tcW w:w="17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被列入严重违法失信名单的当事人</w:t>
            </w:r>
          </w:p>
        </w:tc>
        <w:tc>
          <w:tcPr>
            <w:tcW w:w="193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1.信用修复申请书；</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2.守信承诺书；</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3.履行法定义务、纠正违法行为的相关材料；</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4.国家市场监督管理总局要求提交的其他材料。</w:t>
            </w:r>
          </w:p>
        </w:tc>
        <w:tc>
          <w:tcPr>
            <w:tcW w:w="18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1.《市场监督管理严重违法失信名单管理办法》（国家市场监督管理总局令第44号）</w:t>
            </w:r>
          </w:p>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2.《市场监督管理信用修复管理办法》（国市监信规〔2021〕3号）</w:t>
            </w:r>
          </w:p>
        </w:tc>
        <w:tc>
          <w:tcPr>
            <w:tcW w:w="81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kern w:val="0"/>
                <w:sz w:val="18"/>
                <w:szCs w:val="18"/>
                <w:lang/>
              </w:rPr>
              <w:t>依申请</w:t>
            </w:r>
          </w:p>
        </w:tc>
        <w:tc>
          <w:tcPr>
            <w:tcW w:w="113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作出列入决定的市场监管部门</w:t>
            </w:r>
          </w:p>
        </w:tc>
        <w:tc>
          <w:tcPr>
            <w:tcW w:w="118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受理之日起15个工作日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8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3</w:t>
            </w:r>
          </w:p>
        </w:tc>
        <w:tc>
          <w:tcPr>
            <w:tcW w:w="159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提前停止通过国家企业信用信息公示系统公示行政处罚信息</w:t>
            </w:r>
          </w:p>
        </w:tc>
        <w:tc>
          <w:tcPr>
            <w:tcW w:w="35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除责令停产停业、限制开展生产经营活动、限制从业、降低资质等级、吊销许可证件、吊销营业执照以及国家市场监督管理总局规定的其他较为严重行政处罚的外，行政处罚信息公示期满六个月，其中食品、药品、特种设备领域行政处罚信息公示期满一年且符合下列情形的当事人：</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1.已经自觉履行行政处罚决定中规定的义务；</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2.已经主动消除危害后果和不良影响；</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3.未因同一类违法行为再次受到市场监督管理部门行政处罚；</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4.未在经营异常名录和严重违法失信名单中。</w:t>
            </w:r>
          </w:p>
        </w:tc>
        <w:tc>
          <w:tcPr>
            <w:tcW w:w="17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受到行政处罚并公示的当事人</w:t>
            </w:r>
          </w:p>
        </w:tc>
        <w:tc>
          <w:tcPr>
            <w:tcW w:w="193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1.《行政处罚信息信用修复业务办理授权委托书》（授权经办人提交修复申请时使用）或者《法定代表人身份证明书》（法定代表人/负责人提交修复申请时使用）；</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2.行政处罚决定书明确的责任义务已履行完毕的证明材料（如缴交罚款的收据或《行政处罚信息信用修复申请表》、行政处罚机关出具的其他相关整改证明材料）；</w:t>
            </w:r>
          </w:p>
          <w:p>
            <w:pPr>
              <w:wordWrap/>
              <w:adjustRightInd/>
              <w:snapToGrid/>
              <w:spacing w:line="280" w:lineRule="exact"/>
              <w:jc w:val="lef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3.《行政处罚信息信用修复承诺书》。</w:t>
            </w:r>
          </w:p>
        </w:tc>
        <w:tc>
          <w:tcPr>
            <w:tcW w:w="18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1.《失信行为纠正后的信用信息修复管理办法（试行）》</w:t>
            </w:r>
          </w:p>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2.《市场监督管理信用修复管理办法》（国市监信规〔2021〕3号）</w:t>
            </w:r>
          </w:p>
          <w:p>
            <w:pPr>
              <w:wordWrap/>
              <w:adjustRightInd/>
              <w:snapToGrid/>
              <w:spacing w:line="280" w:lineRule="exact"/>
              <w:jc w:val="both"/>
              <w:rPr>
                <w:rFonts w:ascii="Times New Roman" w:hAnsi="Times New Roman" w:eastAsia="宋体" w:cs="Times New Roman"/>
                <w:iCs/>
                <w:color w:val="000000"/>
                <w:spacing w:val="-6"/>
                <w:sz w:val="18"/>
                <w:szCs w:val="18"/>
              </w:rPr>
            </w:pPr>
            <w:r>
              <w:rPr>
                <w:rFonts w:ascii="Times New Roman" w:hAnsi="Times New Roman" w:eastAsia="宋体" w:cs="Times New Roman"/>
                <w:iCs/>
                <w:color w:val="000000"/>
                <w:sz w:val="18"/>
                <w:szCs w:val="18"/>
              </w:rPr>
              <w:t>3.《市场监督管理行</w:t>
            </w:r>
            <w:r>
              <w:rPr>
                <w:rFonts w:ascii="Times New Roman" w:hAnsi="Times New Roman" w:eastAsia="宋体" w:cs="Times New Roman"/>
                <w:iCs/>
                <w:color w:val="000000"/>
                <w:spacing w:val="-6"/>
                <w:sz w:val="18"/>
                <w:szCs w:val="18"/>
              </w:rPr>
              <w:t>政处罚信息公示规定》（国家市场监督管理总局令第45号）</w:t>
            </w:r>
          </w:p>
          <w:p>
            <w:pPr>
              <w:wordWrap/>
              <w:adjustRightInd/>
              <w:snapToGrid/>
              <w:spacing w:line="280" w:lineRule="exact"/>
              <w:jc w:val="both"/>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4.《广东省发展改革委关于印发</w:t>
            </w:r>
            <w:r>
              <w:rPr>
                <w:rFonts w:ascii="Times New Roman" w:hAnsi="Times New Roman" w:eastAsia="宋体" w:cs="Times New Roman"/>
                <w:iCs/>
                <w:color w:val="000000"/>
                <w:sz w:val="18"/>
                <w:szCs w:val="18"/>
                <w:lang/>
              </w:rPr>
              <w:t>〈</w:t>
            </w:r>
            <w:r>
              <w:rPr>
                <w:rFonts w:ascii="Times New Roman" w:hAnsi="Times New Roman" w:eastAsia="宋体" w:cs="Times New Roman"/>
                <w:iCs/>
                <w:color w:val="000000"/>
                <w:sz w:val="18"/>
                <w:szCs w:val="18"/>
              </w:rPr>
              <w:t>广东省深化信用修复“一口受理、一次办成”改革 办好信用修复“一件事”工作方案</w:t>
            </w:r>
            <w:r>
              <w:rPr>
                <w:rFonts w:ascii="Times New Roman" w:hAnsi="Times New Roman" w:eastAsia="宋体" w:cs="Times New Roman"/>
                <w:iCs/>
                <w:color w:val="000000"/>
                <w:sz w:val="18"/>
                <w:szCs w:val="18"/>
                <w:lang/>
              </w:rPr>
              <w:t>〉的通知</w:t>
            </w:r>
            <w:r>
              <w:rPr>
                <w:rFonts w:ascii="Times New Roman" w:hAnsi="Times New Roman" w:eastAsia="宋体" w:cs="Times New Roman"/>
                <w:iCs/>
                <w:color w:val="000000"/>
                <w:sz w:val="18"/>
                <w:szCs w:val="18"/>
              </w:rPr>
              <w:t>》（粤发改信用〔2024〕128号）</w:t>
            </w:r>
          </w:p>
        </w:tc>
        <w:tc>
          <w:tcPr>
            <w:tcW w:w="81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依申请</w:t>
            </w:r>
          </w:p>
        </w:tc>
        <w:tc>
          <w:tcPr>
            <w:tcW w:w="113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市场监管</w:t>
            </w:r>
          </w:p>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部门</w:t>
            </w:r>
          </w:p>
        </w:tc>
        <w:tc>
          <w:tcPr>
            <w:tcW w:w="118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80" w:lineRule="exact"/>
              <w:jc w:val="center"/>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7个工作日</w:t>
            </w:r>
          </w:p>
        </w:tc>
      </w:tr>
    </w:tbl>
    <w:p>
      <w:pPr>
        <w:rPr>
          <w:sz w:val="21"/>
          <w:szCs w:val="21"/>
        </w:rPr>
      </w:pPr>
      <w:r>
        <w:rPr>
          <w:rFonts w:hint="eastAsia"/>
          <w:sz w:val="21"/>
          <w:szCs w:val="21"/>
          <w:lang w:eastAsia="zh-CN"/>
        </w:rPr>
        <w:t>备注：根据市场监管总局进一步优化市场监管信用修复服务有关要求，不得要求当事人提供可通过市场监管领域系统平台查询或部门内函询确认的申请材料，或者非必须提供的其他证明材料。</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A7C68AA"/>
    <w:rsid w:val="1DFC667C"/>
    <w:rsid w:val="360C2465"/>
    <w:rsid w:val="3A7C68AA"/>
    <w:rsid w:val="4A976671"/>
    <w:rsid w:val="4DEB12CA"/>
    <w:rsid w:val="642F125B"/>
    <w:rsid w:val="74AE4FE5"/>
    <w:rsid w:val="7C89733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1345</Words>
  <Characters>1393</Characters>
  <Lines>0</Lines>
  <Paragraphs>0</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2025-04-25T08:53:00Z</dcterms:created>
  <dc:creator>胡翌婧</dc:creator>
  <cp:lastModifiedBy>赖剑雄</cp:lastModifiedBy>
  <cp:lastPrinted>2025-06-04T02:39:00Z</cp:lastPrinted>
  <dcterms:modified xsi:type="dcterms:W3CDTF">2025-06-12T03:43:24Z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C0A4EE034A6247F1A8E6D20040E0A72B_11</vt:lpwstr>
  </property>
  <property fmtid="{D5CDD505-2E9C-101B-9397-08002B2CF9AE}" pid="4" name="KSOTemplateDocerSaveRecord">
    <vt:lpwstr>eyJoZGlkIjoiNTIxZGU4MTMwOWU5YTljOTA5MjQ4YzEzOTY0NzJlNTAiLCJ1c2VySWQiOiIxNjg1ODU3Mzg0In0=</vt:lpwstr>
  </property>
</Properties>
</file>