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5F8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附件1</w:t>
      </w:r>
    </w:p>
    <w:p w14:paraId="1FC779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color w:val="auto"/>
          <w:sz w:val="32"/>
          <w:szCs w:val="32"/>
          <w:highlight w:val="none"/>
          <w:lang w:val="en-US" w:eastAsia="zh-CN"/>
        </w:rPr>
      </w:pPr>
    </w:p>
    <w:p w14:paraId="4CF393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河源市按病种分值付费（DIP）医院系数</w:t>
      </w:r>
    </w:p>
    <w:p w14:paraId="5F456A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设定方案</w:t>
      </w:r>
    </w:p>
    <w:p w14:paraId="01405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p>
    <w:p w14:paraId="407713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一、定点医疗机构系数由基本权重系数和加成权重系数组成。</w:t>
      </w:r>
    </w:p>
    <w:p w14:paraId="75B9CC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定点医疗机构系数</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rPr>
        <w:t>基本系数</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rPr>
        <w:t>加成系数</w:t>
      </w:r>
    </w:p>
    <w:p w14:paraId="18A989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二、基本权重系数</w:t>
      </w:r>
    </w:p>
    <w:p w14:paraId="16593B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基本权重系数按定点医疗机构在清算年度1月1日时的医院级别确定，未纳入DIP付费清算的定点医疗机构不设基本权重系数。</w:t>
      </w:r>
      <w:r>
        <w:rPr>
          <w:rFonts w:hint="eastAsia" w:ascii="仿宋_GB2312" w:hAnsi="仿宋_GB2312" w:eastAsia="仿宋_GB2312" w:cs="仿宋_GB2312"/>
          <w:b w:val="0"/>
          <w:bCs w:val="0"/>
          <w:color w:val="auto"/>
          <w:sz w:val="32"/>
          <w:szCs w:val="32"/>
          <w:highlight w:val="none"/>
          <w:lang w:val="en-US" w:eastAsia="zh-CN"/>
        </w:rPr>
        <w:t>河源市人民医院、河源市深河人民医院基本权重系数为1，其他</w:t>
      </w:r>
      <w:r>
        <w:rPr>
          <w:rFonts w:hint="eastAsia" w:ascii="仿宋_GB2312" w:hAnsi="仿宋_GB2312" w:eastAsia="仿宋_GB2312" w:cs="仿宋_GB2312"/>
          <w:b w:val="0"/>
          <w:bCs w:val="0"/>
          <w:color w:val="auto"/>
          <w:sz w:val="32"/>
          <w:szCs w:val="32"/>
          <w:highlight w:val="none"/>
        </w:rPr>
        <w:t>三级定点医疗机构基本权重系数为</w:t>
      </w:r>
      <w:r>
        <w:rPr>
          <w:rFonts w:hint="eastAsia" w:ascii="仿宋_GB2312" w:hAnsi="仿宋_GB2312" w:eastAsia="仿宋_GB2312" w:cs="仿宋_GB2312"/>
          <w:b w:val="0"/>
          <w:bCs w:val="0"/>
          <w:color w:val="auto"/>
          <w:sz w:val="32"/>
          <w:szCs w:val="32"/>
          <w:highlight w:val="none"/>
          <w:lang w:val="en-US" w:eastAsia="zh-CN"/>
        </w:rPr>
        <w:t>0.98</w:t>
      </w:r>
      <w:r>
        <w:rPr>
          <w:rFonts w:hint="eastAsia" w:ascii="仿宋_GB2312" w:hAnsi="仿宋_GB2312" w:eastAsia="仿宋_GB2312" w:cs="仿宋_GB2312"/>
          <w:b w:val="0"/>
          <w:bCs w:val="0"/>
          <w:color w:val="auto"/>
          <w:sz w:val="32"/>
          <w:szCs w:val="32"/>
          <w:highlight w:val="none"/>
        </w:rPr>
        <w:t>；二级甲等定点医疗机构基本权重系数为0.92，二级甲等未复评定点医疗机构基本权重系数为0.89，二级</w:t>
      </w:r>
      <w:r>
        <w:rPr>
          <w:rFonts w:hint="eastAsia" w:ascii="仿宋_GB2312" w:hAnsi="仿宋_GB2312" w:eastAsia="仿宋_GB2312" w:cs="仿宋_GB2312"/>
          <w:b w:val="0"/>
          <w:bCs w:val="0"/>
          <w:color w:val="auto"/>
          <w:sz w:val="32"/>
          <w:szCs w:val="32"/>
          <w:highlight w:val="none"/>
          <w:lang w:val="en-US" w:eastAsia="zh-CN"/>
        </w:rPr>
        <w:t>乙等</w:t>
      </w:r>
      <w:r>
        <w:rPr>
          <w:rFonts w:hint="eastAsia" w:ascii="仿宋_GB2312" w:hAnsi="仿宋_GB2312" w:eastAsia="仿宋_GB2312" w:cs="仿宋_GB2312"/>
          <w:b w:val="0"/>
          <w:bCs w:val="0"/>
          <w:color w:val="auto"/>
          <w:sz w:val="32"/>
          <w:szCs w:val="32"/>
          <w:highlight w:val="none"/>
        </w:rPr>
        <w:t>定点医疗机构基本权重系数为0.8</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二级</w:t>
      </w:r>
      <w:r>
        <w:rPr>
          <w:rFonts w:hint="eastAsia" w:ascii="仿宋_GB2312" w:hAnsi="仿宋_GB2312" w:eastAsia="仿宋_GB2312" w:cs="仿宋_GB2312"/>
          <w:b w:val="0"/>
          <w:bCs w:val="0"/>
          <w:color w:val="auto"/>
          <w:sz w:val="32"/>
          <w:szCs w:val="32"/>
          <w:highlight w:val="none"/>
          <w:lang w:val="en-US" w:eastAsia="zh-CN"/>
        </w:rPr>
        <w:t>乙等以下</w:t>
      </w:r>
      <w:r>
        <w:rPr>
          <w:rFonts w:hint="eastAsia" w:ascii="仿宋_GB2312" w:hAnsi="仿宋_GB2312" w:eastAsia="仿宋_GB2312" w:cs="仿宋_GB2312"/>
          <w:b w:val="0"/>
          <w:bCs w:val="0"/>
          <w:color w:val="auto"/>
          <w:sz w:val="32"/>
          <w:szCs w:val="32"/>
          <w:highlight w:val="none"/>
        </w:rPr>
        <w:t>定点医疗机构</w:t>
      </w:r>
      <w:r>
        <w:rPr>
          <w:rFonts w:hint="eastAsia" w:ascii="仿宋_GB2312" w:hAnsi="仿宋_GB2312" w:eastAsia="仿宋_GB2312" w:cs="仿宋_GB2312"/>
          <w:b w:val="0"/>
          <w:bCs w:val="0"/>
          <w:color w:val="auto"/>
          <w:sz w:val="32"/>
          <w:szCs w:val="32"/>
          <w:highlight w:val="none"/>
          <w:lang w:val="en-US" w:eastAsia="zh-CN"/>
        </w:rPr>
        <w:t>、中心卫生院</w:t>
      </w:r>
      <w:r>
        <w:rPr>
          <w:rFonts w:hint="eastAsia" w:ascii="仿宋_GB2312" w:hAnsi="仿宋_GB2312" w:eastAsia="仿宋_GB2312" w:cs="仿宋_GB2312"/>
          <w:b w:val="0"/>
          <w:bCs w:val="0"/>
          <w:color w:val="auto"/>
          <w:sz w:val="32"/>
          <w:szCs w:val="32"/>
          <w:highlight w:val="none"/>
        </w:rPr>
        <w:t>基本权重系数为0.</w:t>
      </w:r>
      <w:r>
        <w:rPr>
          <w:rFonts w:hint="eastAsia" w:ascii="仿宋_GB2312" w:hAnsi="仿宋_GB2312" w:eastAsia="仿宋_GB2312" w:cs="仿宋_GB2312"/>
          <w:b w:val="0"/>
          <w:bCs w:val="0"/>
          <w:color w:val="auto"/>
          <w:sz w:val="32"/>
          <w:szCs w:val="32"/>
          <w:highlight w:val="none"/>
          <w:lang w:val="en-US" w:eastAsia="zh-CN"/>
        </w:rPr>
        <w:t>72</w:t>
      </w:r>
      <w:r>
        <w:rPr>
          <w:rFonts w:hint="eastAsia" w:ascii="仿宋_GB2312" w:hAnsi="仿宋_GB2312" w:eastAsia="仿宋_GB2312" w:cs="仿宋_GB2312"/>
          <w:b w:val="0"/>
          <w:bCs w:val="0"/>
          <w:color w:val="auto"/>
          <w:sz w:val="32"/>
          <w:szCs w:val="32"/>
          <w:highlight w:val="none"/>
        </w:rPr>
        <w:t>；一级</w:t>
      </w:r>
      <w:r>
        <w:rPr>
          <w:rFonts w:hint="eastAsia" w:ascii="仿宋_GB2312" w:hAnsi="仿宋_GB2312" w:eastAsia="仿宋_GB2312" w:cs="仿宋_GB2312"/>
          <w:b w:val="0"/>
          <w:bCs w:val="0"/>
          <w:color w:val="auto"/>
          <w:sz w:val="32"/>
          <w:szCs w:val="32"/>
          <w:highlight w:val="none"/>
          <w:lang w:val="en-US" w:eastAsia="zh-CN"/>
        </w:rPr>
        <w:t>及以下定点医疗机构（含普通卫生院、社区卫生服务中心）</w:t>
      </w:r>
      <w:r>
        <w:rPr>
          <w:rFonts w:hint="eastAsia" w:ascii="仿宋_GB2312" w:hAnsi="仿宋_GB2312" w:eastAsia="仿宋_GB2312" w:cs="仿宋_GB2312"/>
          <w:b w:val="0"/>
          <w:bCs w:val="0"/>
          <w:color w:val="auto"/>
          <w:sz w:val="32"/>
          <w:szCs w:val="32"/>
          <w:highlight w:val="none"/>
        </w:rPr>
        <w:t>基本权重系数为0.6。</w:t>
      </w:r>
    </w:p>
    <w:p w14:paraId="24ECDF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医院等级以当年度医保协议签订的级别为准，中期因级别和等级变更重新签订医保协议的，新协议签订后的结算病例按变更后系数确定。</w:t>
      </w:r>
    </w:p>
    <w:p w14:paraId="780ED4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三、加成权重系数由CMI加成系数、老年患者比例加成系 数、儿科患者比例加成系数、医院技术水平加成系数、广东省高水平医院加成系数和县域住院率加成系数组成。</w:t>
      </w:r>
    </w:p>
    <w:p w14:paraId="4FBFA83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（一）CMI加成系数</w:t>
      </w:r>
    </w:p>
    <w:p w14:paraId="4113D8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定点医院CMI值大于</w:t>
      </w:r>
      <w:r>
        <w:rPr>
          <w:rFonts w:hint="eastAsia" w:ascii="仿宋_GB2312" w:hAnsi="仿宋_GB2312" w:eastAsia="仿宋_GB2312" w:cs="仿宋_GB2312"/>
          <w:color w:val="auto"/>
          <w:sz w:val="32"/>
          <w:szCs w:val="32"/>
          <w:highlight w:val="none"/>
          <w:lang w:val="en-US" w:eastAsia="zh-CN"/>
        </w:rPr>
        <w:t>同级各</w:t>
      </w:r>
      <w:r>
        <w:rPr>
          <w:rFonts w:hint="eastAsia" w:ascii="仿宋_GB2312" w:hAnsi="仿宋_GB2312" w:eastAsia="仿宋_GB2312" w:cs="仿宋_GB2312"/>
          <w:color w:val="auto"/>
          <w:sz w:val="32"/>
          <w:szCs w:val="32"/>
          <w:highlight w:val="none"/>
        </w:rPr>
        <w:t>定点医院CMI平均值的，每超出平均值10%的三级、二级和一级定点医疗机构分别加成2%、1.8% 和1.6%,最高加成5%。总病例数未达全市0.5%及核心病种数未达100种的不进行加成。</w:t>
      </w:r>
    </w:p>
    <w:p w14:paraId="66A6974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计算公式为：</w:t>
      </w:r>
    </w:p>
    <w:p w14:paraId="5EC149C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某定点医院CMI值=该院所有出院病例总分值÷该院出院总例数÷1000。</w:t>
      </w:r>
    </w:p>
    <w:p w14:paraId="534636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（二）老年患者比例加成系数</w:t>
      </w:r>
    </w:p>
    <w:p w14:paraId="4A8585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定点医院老年患者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65岁以上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住院结算人次占比大于等于全市平均值，且本院老年患者住院结算人次占总住院人次比例低于50%的，每超出平均值10%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三级、二级和一级定点医疗机构分别加成0.8%、0.64%和0.48%，最高加成3%。康复医院、眼科医院不计算老年患者比例加成系数。</w:t>
      </w:r>
      <w:r>
        <w:rPr>
          <w:rFonts w:hint="eastAsia" w:ascii="仿宋_GB2312" w:hAnsi="仿宋_GB2312" w:eastAsia="仿宋_GB2312" w:cs="仿宋_GB2312"/>
          <w:color w:val="auto"/>
          <w:sz w:val="32"/>
          <w:szCs w:val="32"/>
          <w:highlight w:val="none"/>
          <w:lang w:val="en-US" w:eastAsia="zh-CN"/>
        </w:rPr>
        <w:t>定点医疗机构</w:t>
      </w:r>
      <w:r>
        <w:rPr>
          <w:rFonts w:hint="eastAsia" w:ascii="仿宋_GB2312" w:hAnsi="仿宋_GB2312" w:eastAsia="仿宋_GB2312" w:cs="仿宋_GB2312"/>
          <w:color w:val="auto"/>
          <w:sz w:val="32"/>
          <w:szCs w:val="32"/>
          <w:highlight w:val="none"/>
        </w:rPr>
        <w:t>老年病例总病例数未达全市1%的不进行加成。</w:t>
      </w:r>
    </w:p>
    <w:p w14:paraId="601945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（三）儿科患者比例加成系数</w:t>
      </w:r>
    </w:p>
    <w:p w14:paraId="6E62E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以当年度全市6岁以下儿童住院人次占比大于全市平均水平时，每超出平均值10%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三级、二级和一级定点医疗机构分别加成0.8%、0.64%和0.48%,最高加成3%。康复医院、眼科医院不计算儿童患者比例加成系数。</w:t>
      </w:r>
      <w:r>
        <w:rPr>
          <w:rFonts w:hint="eastAsia" w:ascii="仿宋_GB2312" w:hAnsi="仿宋_GB2312" w:eastAsia="仿宋_GB2312" w:cs="仿宋_GB2312"/>
          <w:color w:val="auto"/>
          <w:sz w:val="32"/>
          <w:szCs w:val="32"/>
          <w:highlight w:val="none"/>
          <w:lang w:val="en-US" w:eastAsia="zh-CN"/>
        </w:rPr>
        <w:t>定点医疗机构</w:t>
      </w:r>
      <w:r>
        <w:rPr>
          <w:rFonts w:hint="eastAsia" w:ascii="仿宋_GB2312" w:hAnsi="仿宋_GB2312" w:eastAsia="仿宋_GB2312" w:cs="仿宋_GB2312"/>
          <w:color w:val="auto"/>
          <w:sz w:val="32"/>
          <w:szCs w:val="32"/>
          <w:highlight w:val="none"/>
        </w:rPr>
        <w:t>儿童病例总病例数未达全市1%的不进行加成。</w:t>
      </w:r>
    </w:p>
    <w:p w14:paraId="7DC625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（四）医院技术水平加成系数</w:t>
      </w:r>
    </w:p>
    <w:p w14:paraId="5E475F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定点医疗机构具有国家或省级重点专科、区域诊疗中心、 医疗技术牵头单位、开展各级科研项目及医院等级评审等条件可申请医院技术水平加成系数。具体加成系数详见《医院技</w:t>
      </w:r>
    </w:p>
    <w:p w14:paraId="5FA5FE0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术水平加成系数明细表》（附</w:t>
      </w:r>
      <w:r>
        <w:rPr>
          <w:rFonts w:hint="eastAsia" w:ascii="仿宋_GB2312" w:hAnsi="仿宋_GB2312" w:eastAsia="仿宋_GB2312" w:cs="仿宋_GB2312"/>
          <w:color w:val="auto"/>
          <w:sz w:val="32"/>
          <w:szCs w:val="32"/>
          <w:highlight w:val="none"/>
          <w:lang w:val="en-US" w:eastAsia="zh-CN"/>
        </w:rPr>
        <w:t>件：</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14:paraId="78A420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（五）广东省高水平医院加成系数</w:t>
      </w:r>
    </w:p>
    <w:p w14:paraId="07E8F13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属于广东省高水平医院的定点医疗机构加成1.3%。</w:t>
      </w:r>
    </w:p>
    <w:p w14:paraId="4F5850E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（六）县域住院率加成系数</w:t>
      </w:r>
    </w:p>
    <w:p w14:paraId="498589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结算年度</w:t>
      </w:r>
      <w:r>
        <w:rPr>
          <w:rFonts w:hint="eastAsia" w:ascii="仿宋_GB2312" w:hAnsi="仿宋_GB2312" w:eastAsia="仿宋_GB2312" w:cs="仿宋_GB2312"/>
          <w:color w:val="auto"/>
          <w:sz w:val="32"/>
          <w:szCs w:val="32"/>
          <w:highlight w:val="none"/>
        </w:rPr>
        <w:t>县域住院率到90%以上</w:t>
      </w:r>
      <w:r>
        <w:rPr>
          <w:rFonts w:hint="eastAsia" w:ascii="仿宋_GB2312" w:hAnsi="仿宋_GB2312" w:eastAsia="仿宋_GB2312" w:cs="仿宋_GB2312"/>
          <w:b w:val="0"/>
          <w:bCs w:val="0"/>
          <w:color w:val="auto"/>
          <w:sz w:val="32"/>
          <w:szCs w:val="32"/>
          <w:highlight w:val="none"/>
          <w:lang w:val="en-US" w:eastAsia="zh-CN"/>
        </w:rPr>
        <w:t>或本市住院率达到93%以上</w:t>
      </w:r>
      <w:r>
        <w:rPr>
          <w:rFonts w:hint="eastAsia" w:ascii="仿宋_GB2312" w:hAnsi="仿宋_GB2312" w:eastAsia="仿宋_GB2312" w:cs="仿宋_GB2312"/>
          <w:b w:val="0"/>
          <w:bCs w:val="0"/>
          <w:color w:val="auto"/>
          <w:sz w:val="32"/>
          <w:szCs w:val="32"/>
          <w:highlight w:val="none"/>
        </w:rPr>
        <w:t>的县</w:t>
      </w:r>
      <w:r>
        <w:rPr>
          <w:rFonts w:hint="eastAsia" w:ascii="仿宋_GB2312" w:hAnsi="仿宋_GB2312" w:eastAsia="仿宋_GB2312" w:cs="仿宋_GB2312"/>
          <w:color w:val="auto"/>
          <w:sz w:val="32"/>
          <w:szCs w:val="32"/>
          <w:highlight w:val="none"/>
        </w:rPr>
        <w:t>总体加成1%，按照</w:t>
      </w:r>
      <w:r>
        <w:rPr>
          <w:rFonts w:hint="eastAsia" w:ascii="仿宋_GB2312" w:hAnsi="仿宋_GB2312" w:eastAsia="仿宋_GB2312" w:cs="仿宋_GB2312"/>
          <w:color w:val="auto"/>
          <w:sz w:val="32"/>
          <w:szCs w:val="32"/>
          <w:highlight w:val="none"/>
          <w:lang w:val="en-US" w:eastAsia="zh-CN"/>
        </w:rPr>
        <w:t>县内住院人次</w:t>
      </w:r>
      <w:r>
        <w:rPr>
          <w:rFonts w:hint="eastAsia" w:ascii="仿宋_GB2312" w:hAnsi="仿宋_GB2312" w:eastAsia="仿宋_GB2312" w:cs="仿宋_GB2312"/>
          <w:color w:val="auto"/>
          <w:sz w:val="32"/>
          <w:szCs w:val="32"/>
          <w:highlight w:val="none"/>
        </w:rPr>
        <w:t>前三的医疗机构住院人次占比进行分配。</w:t>
      </w:r>
    </w:p>
    <w:p w14:paraId="3E6A62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以上各项加成系数相加后不超过10%。</w:t>
      </w:r>
    </w:p>
    <w:p w14:paraId="130828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四、加成权重系数中的确定方法</w:t>
      </w:r>
    </w:p>
    <w:p w14:paraId="384701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（一）医院技术水平加成系数由各定点医疗机构对照《医 院技术水平加成系数明细表》，准备申请资料并提交辖区医保中心，由各医保中心汇总后交由市医疗保障局组织专家进行确定。</w:t>
      </w:r>
    </w:p>
    <w:p w14:paraId="3D6D201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（二）CMI、老年患者比例及儿科患者比例加成系数由当年度的数据计算得出。</w:t>
      </w:r>
    </w:p>
    <w:p w14:paraId="26EB6D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（三）县域住院率按上年度实际数据计算，有关数据以市</w:t>
      </w:r>
    </w:p>
    <w:p w14:paraId="6BAA48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卫健局统计的为准。</w:t>
      </w:r>
    </w:p>
    <w:p w14:paraId="113322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五、扣减权重系数</w:t>
      </w:r>
    </w:p>
    <w:p w14:paraId="56918BA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（一）人次人头比扣减系数。定点医疗机构人次人头比超过上年度的，每增加1%，依次扣减0.01%，最高扣减1%。</w:t>
      </w:r>
    </w:p>
    <w:p w14:paraId="33342E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人次人头比＝出院人次÷出院人数</w:t>
      </w:r>
    </w:p>
    <w:p w14:paraId="79E8CE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（二）年度内医保结算清单质控准确率。[考核方法:准确率</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（医疗机构年度住院总病例数－编码错误病例数）/医疗机构年度住院总病例数</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100%]。结果运用:准确率95%以上的为达标，95%以下的每降低1%,权重系数扣减 0.5个百分点，最高扣减权重系数1个百分点。</w:t>
      </w:r>
    </w:p>
    <w:p w14:paraId="2EC042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b/>
          <w:bCs/>
          <w:color w:val="auto"/>
          <w:sz w:val="32"/>
          <w:szCs w:val="32"/>
          <w:highlight w:val="none"/>
          <w:lang w:val="en-US" w:eastAsia="zh-CN"/>
        </w:rPr>
      </w:pPr>
    </w:p>
    <w:p w14:paraId="7C7AA6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附件</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.医院技术水平加成系数明细表</w:t>
      </w:r>
    </w:p>
    <w:p w14:paraId="1B8BB7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医院技术水平加成系数申请表</w:t>
      </w:r>
    </w:p>
    <w:p w14:paraId="521C99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068F48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6115E0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25C013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39F3CD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24FBF9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sectPr>
          <w:footerReference r:id="rId3" w:type="default"/>
          <w:pgSz w:w="11906" w:h="16838"/>
          <w:pgMar w:top="1531" w:right="1531" w:bottom="2098" w:left="1531" w:header="851" w:footer="992" w:gutter="0"/>
          <w:pgNumType w:fmt="numberInDash"/>
          <w:cols w:space="425" w:num="1"/>
          <w:docGrid w:type="lines" w:linePitch="312" w:charSpace="0"/>
        </w:sectPr>
      </w:pPr>
    </w:p>
    <w:p w14:paraId="6F483E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附件1-1</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2"/>
        <w:gridCol w:w="1154"/>
        <w:gridCol w:w="1600"/>
        <w:gridCol w:w="4879"/>
        <w:gridCol w:w="4809"/>
      </w:tblGrid>
      <w:tr w14:paraId="14E7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5"/>
            <w:tcBorders>
              <w:top w:val="nil"/>
              <w:left w:val="nil"/>
              <w:bottom w:val="nil"/>
              <w:right w:val="nil"/>
            </w:tcBorders>
            <w:shd w:val="clear" w:color="auto" w:fill="auto"/>
            <w:noWrap/>
            <w:vAlign w:val="center"/>
          </w:tcPr>
          <w:p w14:paraId="2835DEFF">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highlight w:val="none"/>
                <w:u w:val="none"/>
              </w:rPr>
            </w:pPr>
            <w:r>
              <w:rPr>
                <w:rFonts w:hint="eastAsia" w:ascii="方正小标宋简体" w:hAnsi="方正小标宋简体" w:eastAsia="方正小标宋简体" w:cs="方正小标宋简体"/>
                <w:i w:val="0"/>
                <w:iCs w:val="0"/>
                <w:color w:val="auto"/>
                <w:kern w:val="0"/>
                <w:sz w:val="32"/>
                <w:szCs w:val="32"/>
                <w:highlight w:val="none"/>
                <w:u w:val="none"/>
                <w:lang w:val="en-US" w:eastAsia="zh-CN" w:bidi="ar"/>
              </w:rPr>
              <w:t>医院技术水平加成系数明细表</w:t>
            </w:r>
          </w:p>
        </w:tc>
      </w:tr>
      <w:tr w14:paraId="3833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85C1">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Style w:val="8"/>
                <w:color w:val="auto"/>
                <w:sz w:val="24"/>
                <w:szCs w:val="24"/>
                <w:highlight w:val="none"/>
                <w:u w:val="none"/>
                <w:lang w:val="en-US" w:eastAsia="zh-CN" w:bidi="ar"/>
              </w:rPr>
              <w:t>加成项目</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BECD">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Style w:val="8"/>
                <w:color w:val="auto"/>
                <w:sz w:val="24"/>
                <w:szCs w:val="24"/>
                <w:highlight w:val="none"/>
                <w:u w:val="none"/>
                <w:lang w:val="en-US" w:eastAsia="zh-CN" w:bidi="ar"/>
              </w:rPr>
              <w:t>级别</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E39D">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Style w:val="8"/>
                <w:color w:val="auto"/>
                <w:sz w:val="24"/>
                <w:szCs w:val="24"/>
                <w:highlight w:val="none"/>
                <w:u w:val="none"/>
                <w:lang w:val="en-US" w:eastAsia="zh-CN" w:bidi="ar"/>
              </w:rPr>
              <w:t>医院类型</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D8BC">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Style w:val="8"/>
                <w:color w:val="auto"/>
                <w:sz w:val="24"/>
                <w:szCs w:val="24"/>
                <w:highlight w:val="none"/>
                <w:u w:val="none"/>
                <w:lang w:val="en-US" w:eastAsia="zh-CN" w:bidi="ar"/>
              </w:rPr>
              <w:t>加成方法</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84F5">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加成要求</w:t>
            </w:r>
          </w:p>
        </w:tc>
      </w:tr>
      <w:tr w14:paraId="34B6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10" w:type="pct"/>
            <w:vMerge w:val="restart"/>
            <w:tcBorders>
              <w:top w:val="single" w:color="000000" w:sz="4" w:space="0"/>
              <w:left w:val="single" w:color="000000" w:sz="4" w:space="0"/>
              <w:right w:val="single" w:color="000000" w:sz="4" w:space="0"/>
            </w:tcBorders>
            <w:shd w:val="clear" w:color="auto" w:fill="auto"/>
            <w:vAlign w:val="center"/>
          </w:tcPr>
          <w:p w14:paraId="7A11BB9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重点专科</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0948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国家级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72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三级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540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每个重点专科加成1.6%。</w:t>
            </w:r>
          </w:p>
        </w:tc>
        <w:tc>
          <w:tcPr>
            <w:tcW w:w="1696" w:type="pct"/>
            <w:vMerge w:val="restart"/>
            <w:tcBorders>
              <w:top w:val="single" w:color="000000" w:sz="4" w:space="0"/>
              <w:left w:val="single" w:color="000000" w:sz="4" w:space="0"/>
              <w:right w:val="single" w:color="000000" w:sz="4" w:space="0"/>
            </w:tcBorders>
            <w:shd w:val="clear" w:color="auto" w:fill="auto"/>
            <w:vAlign w:val="center"/>
          </w:tcPr>
          <w:p w14:paraId="7E3E31BD">
            <w:pPr>
              <w:keepNext w:val="0"/>
              <w:keepLines w:val="0"/>
              <w:widowControl/>
              <w:numPr>
                <w:ilvl w:val="0"/>
                <w:numId w:val="0"/>
              </w:numPr>
              <w:suppressLineNumbers w:val="0"/>
              <w:jc w:val="left"/>
              <w:textAlignment w:val="center"/>
              <w:rPr>
                <w:rStyle w:val="9"/>
                <w:rFonts w:hint="eastAsia" w:ascii="仿宋_GB2312" w:hAnsi="仿宋_GB2312" w:eastAsia="仿宋_GB2312" w:cs="仿宋_GB2312"/>
                <w:color w:val="auto"/>
                <w:sz w:val="22"/>
                <w:szCs w:val="22"/>
                <w:highlight w:val="none"/>
                <w:u w:val="none"/>
                <w:lang w:val="en-US" w:eastAsia="zh-CN" w:bidi="ar"/>
              </w:rPr>
            </w:pPr>
            <w:r>
              <w:rPr>
                <w:rStyle w:val="9"/>
                <w:rFonts w:hint="eastAsia" w:ascii="仿宋_GB2312" w:hAnsi="仿宋_GB2312" w:eastAsia="仿宋_GB2312" w:cs="仿宋_GB2312"/>
                <w:color w:val="auto"/>
                <w:sz w:val="22"/>
                <w:szCs w:val="22"/>
                <w:highlight w:val="none"/>
                <w:u w:val="none"/>
                <w:lang w:val="en-US" w:eastAsia="zh-CN" w:bidi="ar"/>
              </w:rPr>
              <w:t>1.该加成项目包含国家及省级有关部门评定的重点专科及特色专科；</w:t>
            </w:r>
            <w:r>
              <w:rPr>
                <w:rStyle w:val="9"/>
                <w:rFonts w:hint="eastAsia" w:ascii="仿宋_GB2312" w:hAnsi="仿宋_GB2312" w:eastAsia="仿宋_GB2312" w:cs="仿宋_GB2312"/>
                <w:color w:val="auto"/>
                <w:sz w:val="22"/>
                <w:szCs w:val="22"/>
                <w:highlight w:val="none"/>
                <w:u w:val="none"/>
                <w:lang w:val="en-US" w:eastAsia="zh-CN" w:bidi="ar"/>
              </w:rPr>
              <w:br w:type="textWrapping"/>
            </w:r>
            <w:r>
              <w:rPr>
                <w:rStyle w:val="9"/>
                <w:rFonts w:hint="eastAsia" w:ascii="仿宋_GB2312" w:hAnsi="仿宋_GB2312" w:eastAsia="仿宋_GB2312" w:cs="仿宋_GB2312"/>
                <w:color w:val="auto"/>
                <w:sz w:val="22"/>
                <w:szCs w:val="22"/>
                <w:highlight w:val="none"/>
                <w:u w:val="none"/>
                <w:lang w:val="en-US" w:eastAsia="zh-CN" w:bidi="ar"/>
              </w:rPr>
              <w:t>2.获批重点专科和特色专科按卫健部门批准的3年有效期在结算年度内</w:t>
            </w:r>
            <w:r>
              <w:rPr>
                <w:rStyle w:val="9"/>
                <w:rFonts w:hint="eastAsia" w:ascii="仿宋_GB2312" w:hAnsi="仿宋_GB2312" w:eastAsia="仿宋_GB2312" w:cs="仿宋_GB2312"/>
                <w:b/>
                <w:bCs/>
                <w:color w:val="auto"/>
                <w:sz w:val="22"/>
                <w:szCs w:val="22"/>
                <w:highlight w:val="none"/>
                <w:u w:val="none"/>
                <w:lang w:val="en-US" w:eastAsia="zh-CN" w:bidi="ar"/>
              </w:rPr>
              <w:t>，</w:t>
            </w:r>
            <w:r>
              <w:rPr>
                <w:rStyle w:val="9"/>
                <w:rFonts w:hint="eastAsia" w:ascii="仿宋_GB2312" w:hAnsi="仿宋_GB2312" w:eastAsia="仿宋_GB2312" w:cs="仿宋_GB2312"/>
                <w:b w:val="0"/>
                <w:bCs w:val="0"/>
                <w:color w:val="auto"/>
                <w:sz w:val="22"/>
                <w:szCs w:val="22"/>
                <w:highlight w:val="none"/>
                <w:u w:val="none"/>
                <w:lang w:val="en-US" w:eastAsia="zh-CN" w:bidi="ar"/>
              </w:rPr>
              <w:t>无有效期的不予加成；</w:t>
            </w:r>
            <w:r>
              <w:rPr>
                <w:rStyle w:val="9"/>
                <w:rFonts w:hint="eastAsia" w:ascii="仿宋_GB2312" w:hAnsi="仿宋_GB2312" w:eastAsia="仿宋_GB2312" w:cs="仿宋_GB2312"/>
                <w:b w:val="0"/>
                <w:bCs w:val="0"/>
                <w:color w:val="auto"/>
                <w:sz w:val="22"/>
                <w:szCs w:val="22"/>
                <w:highlight w:val="none"/>
                <w:u w:val="none"/>
                <w:lang w:val="en-US" w:eastAsia="zh-CN" w:bidi="ar"/>
              </w:rPr>
              <w:br w:type="textWrapping"/>
            </w:r>
            <w:r>
              <w:rPr>
                <w:rStyle w:val="9"/>
                <w:rFonts w:hint="eastAsia" w:ascii="仿宋_GB2312" w:hAnsi="仿宋_GB2312" w:eastAsia="仿宋_GB2312" w:cs="仿宋_GB2312"/>
                <w:b w:val="0"/>
                <w:bCs w:val="0"/>
                <w:color w:val="auto"/>
                <w:sz w:val="22"/>
                <w:szCs w:val="22"/>
                <w:highlight w:val="none"/>
                <w:u w:val="none"/>
                <w:lang w:val="en-US" w:eastAsia="zh-CN" w:bidi="ar"/>
              </w:rPr>
              <w:t>3.以正式公布文件为准，公示期不加成；</w:t>
            </w:r>
          </w:p>
          <w:p w14:paraId="73371B80">
            <w:pPr>
              <w:keepNext w:val="0"/>
              <w:keepLines w:val="0"/>
              <w:widowControl/>
              <w:numPr>
                <w:ilvl w:val="0"/>
                <w:numId w:val="0"/>
              </w:numPr>
              <w:suppressLineNumbers w:val="0"/>
              <w:jc w:val="left"/>
              <w:textAlignment w:val="center"/>
              <w:rPr>
                <w:rStyle w:val="9"/>
                <w:rFonts w:hint="eastAsia" w:ascii="仿宋_GB2312" w:hAnsi="仿宋_GB2312" w:eastAsia="仿宋_GB2312" w:cs="仿宋_GB2312"/>
                <w:color w:val="auto"/>
                <w:sz w:val="22"/>
                <w:szCs w:val="22"/>
                <w:highlight w:val="none"/>
                <w:u w:val="none"/>
                <w:lang w:val="en-US" w:eastAsia="zh-CN" w:bidi="ar"/>
              </w:rPr>
            </w:pPr>
            <w:r>
              <w:rPr>
                <w:rStyle w:val="9"/>
                <w:rFonts w:hint="eastAsia" w:ascii="仿宋_GB2312" w:hAnsi="仿宋_GB2312" w:eastAsia="仿宋_GB2312" w:cs="仿宋_GB2312"/>
                <w:color w:val="auto"/>
                <w:sz w:val="22"/>
                <w:szCs w:val="22"/>
                <w:highlight w:val="none"/>
                <w:u w:val="none"/>
                <w:lang w:val="en-US" w:eastAsia="zh-CN" w:bidi="ar"/>
              </w:rPr>
              <w:t>4.该项目总加成不超过1.6%。</w:t>
            </w:r>
          </w:p>
          <w:p w14:paraId="5D259EE3">
            <w:pPr>
              <w:keepNext w:val="0"/>
              <w:keepLines w:val="0"/>
              <w:widowControl/>
              <w:suppressLineNumbers w:val="0"/>
              <w:tabs>
                <w:tab w:val="left" w:pos="1733"/>
              </w:tabs>
              <w:jc w:val="left"/>
              <w:textAlignment w:val="center"/>
              <w:rPr>
                <w:rStyle w:val="9"/>
                <w:rFonts w:hint="default"/>
                <w:color w:val="auto"/>
                <w:sz w:val="22"/>
                <w:szCs w:val="22"/>
                <w:highlight w:val="none"/>
                <w:u w:val="none"/>
                <w:lang w:val="en-US" w:eastAsia="zh-CN" w:bidi="ar"/>
              </w:rPr>
            </w:pPr>
          </w:p>
        </w:tc>
      </w:tr>
      <w:tr w14:paraId="677E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10" w:type="pct"/>
            <w:vMerge w:val="continue"/>
            <w:tcBorders>
              <w:left w:val="single" w:color="000000" w:sz="4" w:space="0"/>
              <w:right w:val="single" w:color="000000" w:sz="4" w:space="0"/>
            </w:tcBorders>
            <w:shd w:val="clear" w:color="auto" w:fill="auto"/>
            <w:vAlign w:val="center"/>
          </w:tcPr>
          <w:p w14:paraId="6D1534ED">
            <w:pPr>
              <w:jc w:val="center"/>
              <w:rPr>
                <w:rFonts w:hint="eastAsia" w:ascii="仿宋_GB2312" w:hAnsi="仿宋_GB2312" w:eastAsia="仿宋_GB2312" w:cs="仿宋_GB2312"/>
                <w:i w:val="0"/>
                <w:iCs w:val="0"/>
                <w:color w:val="auto"/>
                <w:sz w:val="22"/>
                <w:szCs w:val="22"/>
                <w:highlight w:val="none"/>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15A6">
            <w:pPr>
              <w:jc w:val="center"/>
              <w:rPr>
                <w:rFonts w:hint="eastAsia" w:ascii="仿宋_GB2312" w:hAnsi="仿宋_GB2312" w:eastAsia="仿宋_GB2312" w:cs="仿宋_GB2312"/>
                <w:i w:val="0"/>
                <w:iCs w:val="0"/>
                <w:color w:val="auto"/>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989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二级及以下</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373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每个重点专科加成1.6%。</w:t>
            </w:r>
          </w:p>
        </w:tc>
        <w:tc>
          <w:tcPr>
            <w:tcW w:w="1696" w:type="pct"/>
            <w:vMerge w:val="continue"/>
            <w:tcBorders>
              <w:left w:val="single" w:color="000000" w:sz="4" w:space="0"/>
              <w:right w:val="single" w:color="000000" w:sz="4" w:space="0"/>
            </w:tcBorders>
            <w:shd w:val="clear" w:color="auto" w:fill="auto"/>
            <w:vAlign w:val="center"/>
          </w:tcPr>
          <w:p w14:paraId="27360A1D">
            <w:pPr>
              <w:jc w:val="left"/>
              <w:rPr>
                <w:rFonts w:hint="eastAsia" w:ascii="仿宋" w:hAnsi="仿宋" w:eastAsia="仿宋" w:cs="仿宋"/>
                <w:i w:val="0"/>
                <w:iCs w:val="0"/>
                <w:color w:val="auto"/>
                <w:sz w:val="22"/>
                <w:szCs w:val="22"/>
                <w:highlight w:val="none"/>
                <w:u w:val="none"/>
              </w:rPr>
            </w:pPr>
          </w:p>
        </w:tc>
      </w:tr>
      <w:tr w14:paraId="34E4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10" w:type="pct"/>
            <w:vMerge w:val="continue"/>
            <w:tcBorders>
              <w:left w:val="single" w:color="000000" w:sz="4" w:space="0"/>
              <w:right w:val="single" w:color="000000" w:sz="4" w:space="0"/>
            </w:tcBorders>
            <w:shd w:val="clear" w:color="auto" w:fill="auto"/>
            <w:vAlign w:val="center"/>
          </w:tcPr>
          <w:p w14:paraId="752068EF">
            <w:pPr>
              <w:jc w:val="center"/>
              <w:rPr>
                <w:rFonts w:hint="eastAsia" w:ascii="仿宋_GB2312" w:hAnsi="仿宋_GB2312" w:eastAsia="仿宋_GB2312" w:cs="仿宋_GB2312"/>
                <w:i w:val="0"/>
                <w:iCs w:val="0"/>
                <w:color w:val="auto"/>
                <w:sz w:val="22"/>
                <w:szCs w:val="22"/>
                <w:highlight w:val="none"/>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3D17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省级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BFA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三级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A1F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每个重点专科加成0.8%。</w:t>
            </w:r>
          </w:p>
        </w:tc>
        <w:tc>
          <w:tcPr>
            <w:tcW w:w="1696" w:type="pct"/>
            <w:vMerge w:val="continue"/>
            <w:tcBorders>
              <w:left w:val="single" w:color="000000" w:sz="4" w:space="0"/>
              <w:right w:val="single" w:color="000000" w:sz="4" w:space="0"/>
            </w:tcBorders>
            <w:shd w:val="clear" w:color="auto" w:fill="auto"/>
            <w:vAlign w:val="center"/>
          </w:tcPr>
          <w:p w14:paraId="7640E8C5">
            <w:pPr>
              <w:jc w:val="left"/>
              <w:rPr>
                <w:rFonts w:hint="eastAsia" w:ascii="仿宋" w:hAnsi="仿宋" w:eastAsia="仿宋" w:cs="仿宋"/>
                <w:i w:val="0"/>
                <w:iCs w:val="0"/>
                <w:color w:val="auto"/>
                <w:sz w:val="22"/>
                <w:szCs w:val="22"/>
                <w:highlight w:val="none"/>
                <w:u w:val="none"/>
              </w:rPr>
            </w:pPr>
          </w:p>
        </w:tc>
      </w:tr>
      <w:tr w14:paraId="24E8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0" w:type="pct"/>
            <w:vMerge w:val="continue"/>
            <w:tcBorders>
              <w:left w:val="single" w:color="000000" w:sz="4" w:space="0"/>
              <w:right w:val="single" w:color="000000" w:sz="4" w:space="0"/>
            </w:tcBorders>
            <w:shd w:val="clear" w:color="auto" w:fill="auto"/>
            <w:vAlign w:val="center"/>
          </w:tcPr>
          <w:p w14:paraId="753E0B5F">
            <w:pPr>
              <w:jc w:val="center"/>
              <w:rPr>
                <w:rFonts w:hint="eastAsia" w:ascii="仿宋_GB2312" w:hAnsi="仿宋_GB2312" w:eastAsia="仿宋_GB2312" w:cs="仿宋_GB2312"/>
                <w:i w:val="0"/>
                <w:iCs w:val="0"/>
                <w:color w:val="auto"/>
                <w:sz w:val="22"/>
                <w:szCs w:val="22"/>
                <w:highlight w:val="none"/>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C3C3">
            <w:pPr>
              <w:jc w:val="center"/>
              <w:rPr>
                <w:rFonts w:hint="eastAsia" w:ascii="仿宋_GB2312" w:hAnsi="仿宋_GB2312" w:eastAsia="仿宋_GB2312" w:cs="仿宋_GB2312"/>
                <w:i w:val="0"/>
                <w:iCs w:val="0"/>
                <w:color w:val="auto"/>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967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二级及以下</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318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Style w:val="9"/>
                <w:rFonts w:hint="eastAsia" w:ascii="仿宋_GB2312" w:hAnsi="仿宋_GB2312" w:eastAsia="仿宋_GB2312" w:cs="仿宋_GB2312"/>
                <w:color w:val="auto"/>
                <w:sz w:val="22"/>
                <w:szCs w:val="22"/>
                <w:highlight w:val="none"/>
                <w:u w:val="none"/>
                <w:lang w:val="en-US" w:eastAsia="zh-CN" w:bidi="ar"/>
              </w:rPr>
              <w:t>每个重点专科加成0.9%。</w:t>
            </w:r>
          </w:p>
        </w:tc>
        <w:tc>
          <w:tcPr>
            <w:tcW w:w="1696" w:type="pct"/>
            <w:vMerge w:val="continue"/>
            <w:tcBorders>
              <w:left w:val="single" w:color="000000" w:sz="4" w:space="0"/>
              <w:right w:val="single" w:color="000000" w:sz="4" w:space="0"/>
            </w:tcBorders>
            <w:shd w:val="clear" w:color="auto" w:fill="auto"/>
            <w:vAlign w:val="center"/>
          </w:tcPr>
          <w:p w14:paraId="762C4EF0">
            <w:pPr>
              <w:jc w:val="left"/>
              <w:rPr>
                <w:rFonts w:hint="eastAsia" w:ascii="仿宋" w:hAnsi="仿宋" w:eastAsia="仿宋" w:cs="仿宋"/>
                <w:i w:val="0"/>
                <w:iCs w:val="0"/>
                <w:color w:val="auto"/>
                <w:sz w:val="22"/>
                <w:szCs w:val="22"/>
                <w:highlight w:val="none"/>
                <w:u w:val="none"/>
              </w:rPr>
            </w:pPr>
          </w:p>
        </w:tc>
      </w:tr>
      <w:tr w14:paraId="4848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10" w:type="pct"/>
            <w:vMerge w:val="continue"/>
            <w:tcBorders>
              <w:left w:val="single" w:color="000000" w:sz="4" w:space="0"/>
              <w:bottom w:val="single" w:color="000000" w:sz="4" w:space="0"/>
              <w:right w:val="single" w:color="000000" w:sz="4" w:space="0"/>
            </w:tcBorders>
            <w:shd w:val="clear" w:color="auto" w:fill="auto"/>
            <w:vAlign w:val="center"/>
          </w:tcPr>
          <w:p w14:paraId="6634C334">
            <w:pPr>
              <w:jc w:val="center"/>
              <w:rPr>
                <w:rFonts w:hint="eastAsia" w:ascii="仿宋_GB2312" w:hAnsi="仿宋_GB2312" w:eastAsia="仿宋_GB2312" w:cs="仿宋_GB2312"/>
                <w:i w:val="0"/>
                <w:iCs w:val="0"/>
                <w:color w:val="auto"/>
                <w:sz w:val="22"/>
                <w:szCs w:val="22"/>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67C3">
            <w:pPr>
              <w:jc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市级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3CD6">
            <w:pPr>
              <w:keepNext w:val="0"/>
              <w:keepLines w:val="0"/>
              <w:widowControl/>
              <w:suppressLineNumbers w:val="0"/>
              <w:jc w:val="center"/>
              <w:textAlignment w:val="center"/>
              <w:rPr>
                <w:rStyle w:val="9"/>
                <w:rFonts w:hint="eastAsia" w:ascii="仿宋_GB2312" w:hAnsi="仿宋_GB2312" w:eastAsia="仿宋_GB2312" w:cs="仿宋_GB2312"/>
                <w:color w:val="auto"/>
                <w:sz w:val="22"/>
                <w:szCs w:val="22"/>
                <w:highlight w:val="none"/>
                <w:u w:val="none"/>
                <w:lang w:val="en-US" w:eastAsia="zh-CN" w:bidi="ar"/>
              </w:rPr>
            </w:pPr>
            <w:r>
              <w:rPr>
                <w:rStyle w:val="9"/>
                <w:rFonts w:hint="eastAsia" w:ascii="仿宋_GB2312" w:hAnsi="仿宋_GB2312" w:eastAsia="仿宋_GB2312" w:cs="仿宋_GB2312"/>
                <w:color w:val="auto"/>
                <w:sz w:val="22"/>
                <w:szCs w:val="22"/>
                <w:highlight w:val="none"/>
                <w:u w:val="none"/>
                <w:lang w:val="en-US" w:eastAsia="zh-CN" w:bidi="ar"/>
              </w:rPr>
              <w:t>所有定点医疗机构</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E019">
            <w:pPr>
              <w:keepNext w:val="0"/>
              <w:keepLines w:val="0"/>
              <w:widowControl/>
              <w:suppressLineNumbers w:val="0"/>
              <w:jc w:val="both"/>
              <w:textAlignment w:val="center"/>
              <w:rPr>
                <w:rStyle w:val="9"/>
                <w:rFonts w:hint="eastAsia" w:ascii="仿宋_GB2312" w:hAnsi="仿宋_GB2312" w:eastAsia="仿宋_GB2312" w:cs="仿宋_GB2312"/>
                <w:color w:val="auto"/>
                <w:sz w:val="22"/>
                <w:szCs w:val="22"/>
                <w:highlight w:val="none"/>
                <w:u w:val="none"/>
                <w:lang w:val="en-US" w:eastAsia="zh-CN" w:bidi="ar"/>
              </w:rPr>
            </w:pPr>
            <w:r>
              <w:rPr>
                <w:rStyle w:val="9"/>
                <w:rFonts w:hint="eastAsia" w:ascii="仿宋_GB2312" w:hAnsi="仿宋_GB2312" w:eastAsia="仿宋_GB2312" w:cs="仿宋_GB2312"/>
                <w:color w:val="auto"/>
                <w:sz w:val="22"/>
                <w:szCs w:val="22"/>
                <w:highlight w:val="none"/>
                <w:u w:val="none"/>
                <w:lang w:val="en-US" w:eastAsia="zh-CN" w:bidi="ar"/>
              </w:rPr>
              <w:t>每个重点专科加成</w:t>
            </w:r>
            <w:r>
              <w:rPr>
                <w:rStyle w:val="9"/>
                <w:rFonts w:hint="eastAsia" w:ascii="仿宋_GB2312" w:hAnsi="仿宋_GB2312" w:eastAsia="仿宋_GB2312" w:cs="仿宋_GB2312"/>
                <w:color w:val="000000" w:themeColor="text1"/>
                <w:sz w:val="22"/>
                <w:szCs w:val="22"/>
                <w:highlight w:val="none"/>
                <w:u w:val="none"/>
                <w:lang w:val="en-US" w:eastAsia="zh-CN" w:bidi="ar"/>
                <w14:textFill>
                  <w14:solidFill>
                    <w14:schemeClr w14:val="tx1"/>
                  </w14:solidFill>
                </w14:textFill>
              </w:rPr>
              <w:t>0.5%，</w:t>
            </w: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该项总加成不超过1%</w:t>
            </w:r>
            <w:r>
              <w:rPr>
                <w:rFonts w:hint="eastAsia" w:ascii="仿宋_GB2312" w:hAnsi="仿宋_GB2312" w:eastAsia="仿宋_GB2312" w:cs="仿宋_GB2312"/>
                <w:i w:val="0"/>
                <w:iCs w:val="0"/>
                <w:color w:val="auto"/>
                <w:kern w:val="0"/>
                <w:sz w:val="22"/>
                <w:szCs w:val="22"/>
                <w:highlight w:val="none"/>
                <w:u w:val="none"/>
                <w:lang w:val="en-US" w:eastAsia="zh-CN" w:bidi="ar"/>
              </w:rPr>
              <w:t>。</w:t>
            </w:r>
          </w:p>
        </w:tc>
        <w:tc>
          <w:tcPr>
            <w:tcW w:w="1696" w:type="pct"/>
            <w:vMerge w:val="continue"/>
            <w:tcBorders>
              <w:left w:val="single" w:color="000000" w:sz="4" w:space="0"/>
              <w:right w:val="single" w:color="000000" w:sz="4" w:space="0"/>
            </w:tcBorders>
            <w:shd w:val="clear" w:color="auto" w:fill="auto"/>
            <w:vAlign w:val="center"/>
          </w:tcPr>
          <w:p w14:paraId="1FB0E571">
            <w:pPr>
              <w:jc w:val="left"/>
              <w:rPr>
                <w:rFonts w:hint="eastAsia" w:ascii="仿宋" w:hAnsi="仿宋" w:eastAsia="仿宋" w:cs="仿宋"/>
                <w:i w:val="0"/>
                <w:iCs w:val="0"/>
                <w:color w:val="auto"/>
                <w:sz w:val="22"/>
                <w:szCs w:val="22"/>
                <w:highlight w:val="none"/>
                <w:u w:val="none"/>
              </w:rPr>
            </w:pPr>
          </w:p>
        </w:tc>
      </w:tr>
      <w:tr w14:paraId="599E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10" w:type="pct"/>
            <w:tcBorders>
              <w:left w:val="single" w:color="000000" w:sz="4" w:space="0"/>
              <w:bottom w:val="single" w:color="000000" w:sz="4" w:space="0"/>
              <w:right w:val="single" w:color="000000" w:sz="4" w:space="0"/>
            </w:tcBorders>
            <w:shd w:val="clear" w:color="auto" w:fill="auto"/>
            <w:vAlign w:val="center"/>
          </w:tcPr>
          <w:p w14:paraId="13B44223">
            <w:pPr>
              <w:jc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特色专科</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06E1">
            <w:pPr>
              <w:jc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国家级、省级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5158">
            <w:pPr>
              <w:keepNext w:val="0"/>
              <w:keepLines w:val="0"/>
              <w:widowControl/>
              <w:suppressLineNumbers w:val="0"/>
              <w:jc w:val="center"/>
              <w:textAlignment w:val="center"/>
              <w:rPr>
                <w:rStyle w:val="9"/>
                <w:rFonts w:hint="eastAsia" w:ascii="仿宋_GB2312" w:hAnsi="仿宋_GB2312" w:eastAsia="仿宋_GB2312" w:cs="仿宋_GB2312"/>
                <w:color w:val="auto"/>
                <w:sz w:val="22"/>
                <w:szCs w:val="22"/>
                <w:highlight w:val="none"/>
                <w:u w:val="none"/>
                <w:lang w:val="en-US" w:eastAsia="zh-CN" w:bidi="ar"/>
              </w:rPr>
            </w:pPr>
            <w:r>
              <w:rPr>
                <w:rStyle w:val="9"/>
                <w:rFonts w:hint="eastAsia" w:ascii="仿宋_GB2312" w:hAnsi="仿宋_GB2312" w:eastAsia="仿宋_GB2312" w:cs="仿宋_GB2312"/>
                <w:color w:val="auto"/>
                <w:sz w:val="22"/>
                <w:szCs w:val="22"/>
                <w:highlight w:val="none"/>
                <w:u w:val="none"/>
                <w:lang w:val="en-US" w:eastAsia="zh-CN" w:bidi="ar"/>
              </w:rPr>
              <w:t>二级及以上</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C7A7">
            <w:pPr>
              <w:keepNext w:val="0"/>
              <w:keepLines w:val="0"/>
              <w:widowControl/>
              <w:suppressLineNumbers w:val="0"/>
              <w:jc w:val="both"/>
              <w:textAlignment w:val="center"/>
              <w:rPr>
                <w:rStyle w:val="9"/>
                <w:rFonts w:hint="eastAsia" w:ascii="仿宋_GB2312" w:hAnsi="仿宋_GB2312" w:eastAsia="仿宋_GB2312" w:cs="仿宋_GB2312"/>
                <w:color w:val="auto"/>
                <w:sz w:val="22"/>
                <w:szCs w:val="22"/>
                <w:highlight w:val="none"/>
                <w:u w:val="none"/>
                <w:lang w:val="en-US" w:eastAsia="zh-CN" w:bidi="ar"/>
              </w:rPr>
            </w:pPr>
            <w:r>
              <w:rPr>
                <w:rStyle w:val="9"/>
                <w:rFonts w:hint="eastAsia" w:ascii="仿宋_GB2312" w:hAnsi="仿宋_GB2312" w:eastAsia="仿宋_GB2312" w:cs="仿宋_GB2312"/>
                <w:color w:val="auto"/>
                <w:sz w:val="22"/>
                <w:szCs w:val="22"/>
                <w:highlight w:val="none"/>
                <w:u w:val="none"/>
                <w:lang w:val="en-US" w:eastAsia="zh-CN" w:bidi="ar"/>
              </w:rPr>
              <w:t>特色专科每个加成0.5%，该项总加成不超过1%。</w:t>
            </w:r>
          </w:p>
        </w:tc>
        <w:tc>
          <w:tcPr>
            <w:tcW w:w="1696" w:type="pct"/>
            <w:vMerge w:val="continue"/>
            <w:tcBorders>
              <w:left w:val="single" w:color="000000" w:sz="4" w:space="0"/>
              <w:bottom w:val="single" w:color="000000" w:sz="4" w:space="0"/>
              <w:right w:val="single" w:color="000000" w:sz="4" w:space="0"/>
            </w:tcBorders>
            <w:shd w:val="clear" w:color="auto" w:fill="auto"/>
            <w:vAlign w:val="center"/>
          </w:tcPr>
          <w:p w14:paraId="5A9FC6B4">
            <w:pPr>
              <w:jc w:val="left"/>
              <w:rPr>
                <w:rFonts w:hint="eastAsia" w:ascii="仿宋" w:hAnsi="仿宋" w:eastAsia="仿宋" w:cs="仿宋"/>
                <w:i w:val="0"/>
                <w:iCs w:val="0"/>
                <w:color w:val="auto"/>
                <w:sz w:val="22"/>
                <w:szCs w:val="22"/>
                <w:highlight w:val="none"/>
                <w:u w:val="none"/>
              </w:rPr>
            </w:pPr>
          </w:p>
        </w:tc>
      </w:tr>
      <w:tr w14:paraId="2115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6A21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区域诊疗中心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EC2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国家级</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ECF1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所有定点医疗机构</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FFC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每个诊疗中心加成1%。</w:t>
            </w:r>
          </w:p>
        </w:tc>
        <w:tc>
          <w:tcPr>
            <w:tcW w:w="1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55F1F">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2"/>
                <w:szCs w:val="22"/>
                <w:highlight w:val="none"/>
                <w:u w:val="none"/>
                <w14:textFill>
                  <w14:solidFill>
                    <w14:schemeClr w14:val="tx1"/>
                  </w14:solidFill>
                </w14:textFill>
              </w:rPr>
            </w:pP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t>1.该加成项目包含胸痛中心、卒中中心、创伤中心、高危孕产妇救治中心、危重新生儿救治中心、质量控制中心等；</w:t>
            </w: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t>2.需经有关部门评审认定；</w:t>
            </w: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t>3.获批中心的有效期在结算年度内；</w:t>
            </w: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t>4.该项目总加成不超过1.5%。</w:t>
            </w:r>
          </w:p>
        </w:tc>
      </w:tr>
      <w:tr w14:paraId="60E1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974AC">
            <w:pPr>
              <w:jc w:val="center"/>
              <w:rPr>
                <w:rFonts w:hint="eastAsia" w:ascii="仿宋_GB2312" w:hAnsi="仿宋_GB2312" w:eastAsia="仿宋_GB2312" w:cs="仿宋_GB2312"/>
                <w:i w:val="0"/>
                <w:iCs w:val="0"/>
                <w:color w:val="auto"/>
                <w:sz w:val="22"/>
                <w:szCs w:val="22"/>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2B2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省级</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AE6E">
            <w:pPr>
              <w:jc w:val="center"/>
              <w:rPr>
                <w:rFonts w:hint="eastAsia" w:ascii="仿宋_GB2312" w:hAnsi="仿宋_GB2312" w:eastAsia="仿宋_GB2312" w:cs="仿宋_GB2312"/>
                <w:i w:val="0"/>
                <w:iCs w:val="0"/>
                <w:color w:val="auto"/>
                <w:sz w:val="22"/>
                <w:szCs w:val="22"/>
                <w:highlight w:val="none"/>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444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每个诊疗中心加成0.8%。</w:t>
            </w:r>
          </w:p>
        </w:tc>
        <w:tc>
          <w:tcPr>
            <w:tcW w:w="1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558C">
            <w:pPr>
              <w:jc w:val="left"/>
              <w:rPr>
                <w:rFonts w:hint="eastAsia" w:ascii="仿宋_GB2312" w:hAnsi="仿宋_GB2312" w:eastAsia="仿宋_GB2312" w:cs="仿宋_GB2312"/>
                <w:b w:val="0"/>
                <w:bCs w:val="0"/>
                <w:i w:val="0"/>
                <w:iCs w:val="0"/>
                <w:color w:val="000000" w:themeColor="text1"/>
                <w:sz w:val="22"/>
                <w:szCs w:val="22"/>
                <w:highlight w:val="none"/>
                <w:u w:val="none"/>
                <w14:textFill>
                  <w14:solidFill>
                    <w14:schemeClr w14:val="tx1"/>
                  </w14:solidFill>
                </w14:textFill>
              </w:rPr>
            </w:pPr>
          </w:p>
        </w:tc>
      </w:tr>
      <w:tr w14:paraId="137D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9068">
            <w:pPr>
              <w:jc w:val="center"/>
              <w:rPr>
                <w:rFonts w:hint="eastAsia" w:ascii="仿宋_GB2312" w:hAnsi="仿宋_GB2312" w:eastAsia="仿宋_GB2312" w:cs="仿宋_GB2312"/>
                <w:i w:val="0"/>
                <w:iCs w:val="0"/>
                <w:color w:val="auto"/>
                <w:sz w:val="22"/>
                <w:szCs w:val="22"/>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4A6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市级</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8B16D">
            <w:pPr>
              <w:jc w:val="center"/>
              <w:rPr>
                <w:rFonts w:hint="eastAsia" w:ascii="仿宋_GB2312" w:hAnsi="仿宋_GB2312" w:eastAsia="仿宋_GB2312" w:cs="仿宋_GB2312"/>
                <w:i w:val="0"/>
                <w:iCs w:val="0"/>
                <w:color w:val="auto"/>
                <w:sz w:val="22"/>
                <w:szCs w:val="22"/>
                <w:highlight w:val="none"/>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174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每个诊疗中心加成0.6%。</w:t>
            </w:r>
          </w:p>
        </w:tc>
        <w:tc>
          <w:tcPr>
            <w:tcW w:w="1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7CB3">
            <w:pPr>
              <w:jc w:val="left"/>
              <w:rPr>
                <w:rFonts w:hint="eastAsia" w:ascii="仿宋_GB2312" w:hAnsi="仿宋_GB2312" w:eastAsia="仿宋_GB2312" w:cs="仿宋_GB2312"/>
                <w:b w:val="0"/>
                <w:bCs w:val="0"/>
                <w:i w:val="0"/>
                <w:iCs w:val="0"/>
                <w:color w:val="000000" w:themeColor="text1"/>
                <w:sz w:val="22"/>
                <w:szCs w:val="22"/>
                <w:highlight w:val="none"/>
                <w:u w:val="none"/>
                <w14:textFill>
                  <w14:solidFill>
                    <w14:schemeClr w14:val="tx1"/>
                  </w14:solidFill>
                </w14:textFill>
              </w:rPr>
            </w:pPr>
          </w:p>
        </w:tc>
      </w:tr>
      <w:tr w14:paraId="5EE5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0" w:type="pct"/>
            <w:vMerge w:val="restart"/>
            <w:tcBorders>
              <w:top w:val="single" w:color="000000" w:sz="4" w:space="0"/>
              <w:left w:val="single" w:color="000000" w:sz="4" w:space="0"/>
              <w:right w:val="single" w:color="000000" w:sz="4" w:space="0"/>
            </w:tcBorders>
            <w:shd w:val="clear" w:color="auto" w:fill="auto"/>
            <w:vAlign w:val="center"/>
          </w:tcPr>
          <w:p w14:paraId="4CD874E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医疗技术牵头单位</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D5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国家级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D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所有定点医疗机构</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42B1">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医学会副主委以上</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所在</w:t>
            </w:r>
            <w:r>
              <w:rPr>
                <w:rFonts w:hint="eastAsia" w:ascii="仿宋_GB2312" w:hAnsi="仿宋_GB2312" w:eastAsia="仿宋_GB2312" w:cs="仿宋_GB2312"/>
                <w:i w:val="0"/>
                <w:iCs w:val="0"/>
                <w:color w:val="auto"/>
                <w:kern w:val="0"/>
                <w:sz w:val="22"/>
                <w:szCs w:val="22"/>
                <w:highlight w:val="none"/>
                <w:u w:val="none"/>
                <w:lang w:val="en-US" w:eastAsia="zh-CN" w:bidi="ar"/>
              </w:rPr>
              <w:t>单位每个加成1.2%。</w:t>
            </w:r>
          </w:p>
        </w:tc>
        <w:tc>
          <w:tcPr>
            <w:tcW w:w="1696" w:type="pct"/>
            <w:vMerge w:val="restart"/>
            <w:tcBorders>
              <w:top w:val="single" w:color="000000" w:sz="4" w:space="0"/>
              <w:left w:val="single" w:color="000000" w:sz="4" w:space="0"/>
              <w:right w:val="single" w:color="000000" w:sz="4" w:space="0"/>
            </w:tcBorders>
            <w:shd w:val="clear" w:color="auto" w:fill="auto"/>
            <w:noWrap/>
            <w:vAlign w:val="center"/>
          </w:tcPr>
          <w:p w14:paraId="14EDC67F">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2"/>
                <w:szCs w:val="22"/>
                <w:highlight w:val="none"/>
                <w:u w:val="none"/>
                <w:lang w:val="en-US" w:eastAsia="zh-CN" w:bidi="ar"/>
                <w14:textFill>
                  <w14:solidFill>
                    <w14:schemeClr w14:val="tx1"/>
                  </w14:solidFill>
                </w14:textFill>
              </w:rPr>
              <w:t>1.主委、副主委任期在结算年度内。</w:t>
            </w:r>
          </w:p>
          <w:p w14:paraId="07DBE25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2"/>
                <w:szCs w:val="22"/>
                <w:highlight w:val="none"/>
                <w:u w:val="none"/>
                <w:lang w:val="en-US" w:eastAsia="zh-CN" w:bidi="ar"/>
                <w14:textFill>
                  <w14:solidFill>
                    <w14:schemeClr w14:val="tx1"/>
                  </w14:solidFill>
                </w14:textFill>
              </w:rPr>
              <w:t>2.申请单位为主委、副主委第一执业机构或参保地，多点执业人员不加成。</w:t>
            </w:r>
          </w:p>
          <w:p w14:paraId="1D704750">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2"/>
                <w:szCs w:val="22"/>
                <w:highlight w:val="none"/>
                <w:u w:val="none"/>
                <w:lang w:val="en-US" w:eastAsia="zh-CN" w:bidi="ar"/>
                <w14:textFill>
                  <w14:solidFill>
                    <w14:schemeClr w14:val="tx1"/>
                  </w14:solidFill>
                </w14:textFill>
              </w:rPr>
              <w:t>3.省外主委、副主委所在单位不加成。</w:t>
            </w:r>
          </w:p>
          <w:p w14:paraId="5BF7E1BD">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2"/>
                <w:szCs w:val="22"/>
                <w:highlight w:val="none"/>
                <w:u w:val="none"/>
                <w:lang w:val="en-US" w:eastAsia="zh-CN" w:bidi="ar"/>
                <w14:textFill>
                  <w14:solidFill>
                    <w14:schemeClr w14:val="tx1"/>
                  </w14:solidFill>
                </w14:textFill>
              </w:rPr>
              <w:t>该项目总加成不超过1.5%。</w:t>
            </w:r>
          </w:p>
        </w:tc>
      </w:tr>
      <w:tr w14:paraId="3416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0" w:type="pct"/>
            <w:vMerge w:val="continue"/>
            <w:tcBorders>
              <w:left w:val="single" w:color="000000" w:sz="4" w:space="0"/>
              <w:right w:val="single" w:color="000000" w:sz="4" w:space="0"/>
            </w:tcBorders>
            <w:shd w:val="clear" w:color="auto" w:fill="auto"/>
            <w:vAlign w:val="center"/>
          </w:tcPr>
          <w:p w14:paraId="30227A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8EC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省级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83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所有定点医疗机构</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940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医学会主委</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所在</w:t>
            </w:r>
            <w:r>
              <w:rPr>
                <w:rFonts w:hint="eastAsia" w:ascii="仿宋_GB2312" w:hAnsi="仿宋_GB2312" w:eastAsia="仿宋_GB2312" w:cs="仿宋_GB2312"/>
                <w:i w:val="0"/>
                <w:iCs w:val="0"/>
                <w:color w:val="auto"/>
                <w:kern w:val="0"/>
                <w:sz w:val="22"/>
                <w:szCs w:val="22"/>
                <w:highlight w:val="none"/>
                <w:u w:val="none"/>
                <w:lang w:val="en-US" w:eastAsia="zh-CN" w:bidi="ar"/>
              </w:rPr>
              <w:t>单位每个加成1%,副主委</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所在</w:t>
            </w:r>
            <w:r>
              <w:rPr>
                <w:rFonts w:hint="eastAsia" w:ascii="仿宋_GB2312" w:hAnsi="仿宋_GB2312" w:eastAsia="仿宋_GB2312" w:cs="仿宋_GB2312"/>
                <w:i w:val="0"/>
                <w:iCs w:val="0"/>
                <w:color w:val="auto"/>
                <w:kern w:val="0"/>
                <w:sz w:val="22"/>
                <w:szCs w:val="22"/>
                <w:highlight w:val="none"/>
                <w:u w:val="none"/>
                <w:lang w:val="en-US" w:eastAsia="zh-CN" w:bidi="ar"/>
              </w:rPr>
              <w:t>单位每个加成0.6%。</w:t>
            </w:r>
          </w:p>
        </w:tc>
        <w:tc>
          <w:tcPr>
            <w:tcW w:w="1696" w:type="pct"/>
            <w:vMerge w:val="continue"/>
            <w:tcBorders>
              <w:left w:val="single" w:color="000000" w:sz="4" w:space="0"/>
              <w:right w:val="single" w:color="000000" w:sz="4" w:space="0"/>
            </w:tcBorders>
            <w:shd w:val="clear" w:color="auto" w:fill="auto"/>
            <w:noWrap/>
            <w:vAlign w:val="center"/>
          </w:tcPr>
          <w:p w14:paraId="17A3FEA5">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2"/>
                <w:szCs w:val="22"/>
                <w:highlight w:val="none"/>
                <w:u w:val="none"/>
                <w14:textFill>
                  <w14:solidFill>
                    <w14:schemeClr w14:val="tx1"/>
                  </w14:solidFill>
                </w14:textFill>
              </w:rPr>
            </w:pPr>
          </w:p>
        </w:tc>
      </w:tr>
      <w:tr w14:paraId="7A54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0" w:type="pct"/>
            <w:vMerge w:val="continue"/>
            <w:tcBorders>
              <w:left w:val="single" w:color="000000" w:sz="4" w:space="0"/>
              <w:bottom w:val="single" w:color="000000" w:sz="4" w:space="0"/>
              <w:right w:val="single" w:color="000000" w:sz="4" w:space="0"/>
            </w:tcBorders>
            <w:shd w:val="clear" w:color="auto" w:fill="auto"/>
            <w:vAlign w:val="center"/>
          </w:tcPr>
          <w:p w14:paraId="2D6B1CAA">
            <w:pPr>
              <w:jc w:val="center"/>
              <w:rPr>
                <w:rFonts w:hint="eastAsia" w:ascii="仿宋_GB2312" w:hAnsi="仿宋_GB2312" w:eastAsia="仿宋_GB2312" w:cs="仿宋_GB2312"/>
                <w:i w:val="0"/>
                <w:iCs w:val="0"/>
                <w:color w:val="auto"/>
                <w:sz w:val="22"/>
                <w:szCs w:val="22"/>
                <w:highlight w:val="none"/>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3A9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市级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13E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县区级及以下定点医疗机构</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EA2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医学会主委</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所在</w:t>
            </w:r>
            <w:r>
              <w:rPr>
                <w:rFonts w:hint="eastAsia" w:ascii="仿宋_GB2312" w:hAnsi="仿宋_GB2312" w:eastAsia="仿宋_GB2312" w:cs="仿宋_GB2312"/>
                <w:i w:val="0"/>
                <w:iCs w:val="0"/>
                <w:color w:val="auto"/>
                <w:kern w:val="0"/>
                <w:sz w:val="22"/>
                <w:szCs w:val="22"/>
                <w:highlight w:val="none"/>
                <w:u w:val="none"/>
                <w:lang w:val="en-US" w:eastAsia="zh-CN" w:bidi="ar"/>
              </w:rPr>
              <w:t>单位每个加成0.2%。</w:t>
            </w:r>
          </w:p>
        </w:tc>
        <w:tc>
          <w:tcPr>
            <w:tcW w:w="1696" w:type="pct"/>
            <w:vMerge w:val="continue"/>
            <w:tcBorders>
              <w:left w:val="single" w:color="000000" w:sz="4" w:space="0"/>
              <w:bottom w:val="single" w:color="000000" w:sz="4" w:space="0"/>
              <w:right w:val="single" w:color="000000" w:sz="4" w:space="0"/>
            </w:tcBorders>
            <w:shd w:val="clear" w:color="auto" w:fill="auto"/>
            <w:noWrap/>
            <w:vAlign w:val="center"/>
          </w:tcPr>
          <w:p w14:paraId="01917108">
            <w:pPr>
              <w:jc w:val="left"/>
              <w:rPr>
                <w:rFonts w:hint="eastAsia" w:ascii="仿宋_GB2312" w:hAnsi="仿宋_GB2312" w:eastAsia="仿宋_GB2312" w:cs="仿宋_GB2312"/>
                <w:b w:val="0"/>
                <w:bCs w:val="0"/>
                <w:i w:val="0"/>
                <w:iCs w:val="0"/>
                <w:color w:val="000000" w:themeColor="text1"/>
                <w:sz w:val="22"/>
                <w:szCs w:val="22"/>
                <w:highlight w:val="none"/>
                <w:u w:val="none"/>
                <w14:textFill>
                  <w14:solidFill>
                    <w14:schemeClr w14:val="tx1"/>
                  </w14:solidFill>
                </w14:textFill>
              </w:rPr>
            </w:pPr>
          </w:p>
        </w:tc>
      </w:tr>
      <w:tr w14:paraId="03FE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367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科研项目</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9F4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国家级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2C4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所有定点医疗机构</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3F0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每个科研项目前3作者加成2%。</w:t>
            </w:r>
          </w:p>
        </w:tc>
        <w:tc>
          <w:tcPr>
            <w:tcW w:w="1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583AD">
            <w:pPr>
              <w:keepNext w:val="0"/>
              <w:keepLines w:val="0"/>
              <w:widowControl/>
              <w:numPr>
                <w:ilvl w:val="0"/>
                <w:numId w:val="0"/>
              </w:numPr>
              <w:suppressLineNumbers w:val="0"/>
              <w:jc w:val="left"/>
              <w:textAlignment w:val="cente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pP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t>1.该加成项目指的是在结算年度内立项、结题和在研的科研项目；</w:t>
            </w:r>
          </w:p>
          <w:p w14:paraId="6B81D561">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sz w:val="22"/>
                <w:szCs w:val="22"/>
                <w:highlight w:val="none"/>
                <w:u w:val="none"/>
                <w14:textFill>
                  <w14:solidFill>
                    <w14:schemeClr w14:val="tx1"/>
                  </w14:solidFill>
                </w14:textFill>
              </w:rPr>
            </w:pP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t>2.规定结题时间2-3年不能结题的不加成。</w:t>
            </w:r>
          </w:p>
          <w:p w14:paraId="5943FA6A">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sz w:val="22"/>
                <w:szCs w:val="22"/>
                <w:highlight w:val="none"/>
                <w:u w:val="none"/>
                <w14:textFill>
                  <w14:solidFill>
                    <w14:schemeClr w14:val="tx1"/>
                  </w14:solidFill>
                </w14:textFill>
              </w:rPr>
            </w:pP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t>3.科研项目须在申请单位立项或作者在申请单位就职。</w:t>
            </w: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br w:type="textWrapping"/>
            </w:r>
            <w:r>
              <w:rPr>
                <w:rStyle w:val="11"/>
                <w:rFonts w:hint="eastAsia" w:ascii="仿宋_GB2312" w:hAnsi="仿宋_GB2312" w:eastAsia="仿宋_GB2312" w:cs="仿宋_GB2312"/>
                <w:b w:val="0"/>
                <w:bCs w:val="0"/>
                <w:color w:val="000000" w:themeColor="text1"/>
                <w:sz w:val="22"/>
                <w:szCs w:val="22"/>
                <w:highlight w:val="none"/>
                <w:u w:val="none"/>
                <w:lang w:val="en-US" w:eastAsia="zh-CN" w:bidi="ar"/>
                <w14:textFill>
                  <w14:solidFill>
                    <w14:schemeClr w14:val="tx1"/>
                  </w14:solidFill>
                </w14:textFill>
              </w:rPr>
              <w:t>2.科研项目总加成不超过1.8%,有国家级科研项目的总加成限制提升至不超过2%。</w:t>
            </w:r>
          </w:p>
        </w:tc>
      </w:tr>
      <w:tr w14:paraId="38EA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C158">
            <w:pPr>
              <w:jc w:val="center"/>
              <w:rPr>
                <w:rFonts w:hint="eastAsia" w:ascii="仿宋" w:hAnsi="仿宋" w:eastAsia="仿宋" w:cs="仿宋"/>
                <w:i w:val="0"/>
                <w:iCs w:val="0"/>
                <w:color w:val="auto"/>
                <w:sz w:val="22"/>
                <w:szCs w:val="22"/>
                <w:highlight w:val="none"/>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A481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省级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C18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三级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23A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每个科研项目第1作者加成1%。</w:t>
            </w:r>
          </w:p>
        </w:tc>
        <w:tc>
          <w:tcPr>
            <w:tcW w:w="1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D6CE">
            <w:pPr>
              <w:jc w:val="left"/>
              <w:rPr>
                <w:rFonts w:hint="eastAsia" w:ascii="仿宋" w:hAnsi="仿宋" w:eastAsia="仿宋" w:cs="仿宋"/>
                <w:i w:val="0"/>
                <w:iCs w:val="0"/>
                <w:color w:val="auto"/>
                <w:sz w:val="22"/>
                <w:szCs w:val="22"/>
                <w:highlight w:val="none"/>
                <w:u w:val="none"/>
              </w:rPr>
            </w:pPr>
          </w:p>
        </w:tc>
      </w:tr>
      <w:tr w14:paraId="3F8C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B0AD">
            <w:pPr>
              <w:jc w:val="center"/>
              <w:rPr>
                <w:rFonts w:hint="eastAsia" w:ascii="仿宋" w:hAnsi="仿宋" w:eastAsia="仿宋" w:cs="仿宋"/>
                <w:i w:val="0"/>
                <w:iCs w:val="0"/>
                <w:color w:val="auto"/>
                <w:sz w:val="22"/>
                <w:szCs w:val="22"/>
                <w:highlight w:val="none"/>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3405">
            <w:pPr>
              <w:jc w:val="center"/>
              <w:rPr>
                <w:rFonts w:hint="eastAsia" w:ascii="仿宋_GB2312" w:hAnsi="仿宋_GB2312" w:eastAsia="仿宋_GB2312" w:cs="仿宋_GB2312"/>
                <w:i w:val="0"/>
                <w:iCs w:val="0"/>
                <w:color w:val="auto"/>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05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二级及以下</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CD3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每个科研项目第1作者加成1.2%。</w:t>
            </w:r>
          </w:p>
        </w:tc>
        <w:tc>
          <w:tcPr>
            <w:tcW w:w="1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0E994">
            <w:pPr>
              <w:jc w:val="left"/>
              <w:rPr>
                <w:rFonts w:hint="eastAsia" w:ascii="仿宋" w:hAnsi="仿宋" w:eastAsia="仿宋" w:cs="仿宋"/>
                <w:i w:val="0"/>
                <w:iCs w:val="0"/>
                <w:color w:val="auto"/>
                <w:sz w:val="22"/>
                <w:szCs w:val="22"/>
                <w:highlight w:val="none"/>
                <w:u w:val="none"/>
              </w:rPr>
            </w:pPr>
          </w:p>
        </w:tc>
      </w:tr>
      <w:tr w14:paraId="118A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B327">
            <w:pPr>
              <w:jc w:val="center"/>
              <w:rPr>
                <w:rFonts w:hint="eastAsia" w:ascii="仿宋" w:hAnsi="仿宋" w:eastAsia="仿宋" w:cs="仿宋"/>
                <w:i w:val="0"/>
                <w:iCs w:val="0"/>
                <w:color w:val="auto"/>
                <w:sz w:val="22"/>
                <w:szCs w:val="22"/>
                <w:highlight w:val="none"/>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7541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市级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C1C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三级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049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每个科研项目第1作者加成0.1%,该项总加成不超过1%。</w:t>
            </w:r>
          </w:p>
        </w:tc>
        <w:tc>
          <w:tcPr>
            <w:tcW w:w="1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16B2">
            <w:pPr>
              <w:jc w:val="left"/>
              <w:rPr>
                <w:rFonts w:hint="eastAsia" w:ascii="仿宋" w:hAnsi="仿宋" w:eastAsia="仿宋" w:cs="仿宋"/>
                <w:i w:val="0"/>
                <w:iCs w:val="0"/>
                <w:color w:val="auto"/>
                <w:sz w:val="22"/>
                <w:szCs w:val="22"/>
                <w:highlight w:val="none"/>
                <w:u w:val="none"/>
              </w:rPr>
            </w:pPr>
          </w:p>
        </w:tc>
      </w:tr>
      <w:tr w14:paraId="4B51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B0C7">
            <w:pPr>
              <w:jc w:val="center"/>
              <w:rPr>
                <w:rFonts w:hint="eastAsia" w:ascii="仿宋" w:hAnsi="仿宋" w:eastAsia="仿宋" w:cs="仿宋"/>
                <w:i w:val="0"/>
                <w:iCs w:val="0"/>
                <w:color w:val="auto"/>
                <w:sz w:val="22"/>
                <w:szCs w:val="22"/>
                <w:highlight w:val="none"/>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0691">
            <w:pPr>
              <w:jc w:val="center"/>
              <w:rPr>
                <w:rFonts w:hint="eastAsia" w:ascii="仿宋_GB2312" w:hAnsi="仿宋_GB2312" w:eastAsia="仿宋_GB2312" w:cs="仿宋_GB2312"/>
                <w:i w:val="0"/>
                <w:iCs w:val="0"/>
                <w:color w:val="auto"/>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AE5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二级及以下</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0E7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每个科研项目第1作者加成0.15%,该项总加成不超过1.5%。</w:t>
            </w:r>
          </w:p>
        </w:tc>
        <w:tc>
          <w:tcPr>
            <w:tcW w:w="1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0920">
            <w:pPr>
              <w:jc w:val="left"/>
              <w:rPr>
                <w:rFonts w:hint="eastAsia" w:ascii="仿宋" w:hAnsi="仿宋" w:eastAsia="仿宋" w:cs="仿宋"/>
                <w:i w:val="0"/>
                <w:iCs w:val="0"/>
                <w:color w:val="auto"/>
                <w:sz w:val="22"/>
                <w:szCs w:val="22"/>
                <w:highlight w:val="none"/>
                <w:u w:val="none"/>
              </w:rPr>
            </w:pPr>
          </w:p>
        </w:tc>
      </w:tr>
      <w:tr w14:paraId="625F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10" w:type="pct"/>
            <w:vMerge w:val="restart"/>
            <w:tcBorders>
              <w:top w:val="single" w:color="000000" w:sz="4" w:space="0"/>
              <w:left w:val="single" w:color="000000" w:sz="4" w:space="0"/>
              <w:right w:val="single" w:color="000000" w:sz="4" w:space="0"/>
            </w:tcBorders>
            <w:shd w:val="clear" w:color="auto" w:fill="auto"/>
            <w:noWrap/>
            <w:vAlign w:val="center"/>
          </w:tcPr>
          <w:p w14:paraId="1EC2796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p>
          <w:p w14:paraId="676496F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p>
          <w:p w14:paraId="5D606E4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p>
          <w:p w14:paraId="16AD342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p>
          <w:p w14:paraId="42D936A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p>
          <w:p w14:paraId="1B8A48E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科技进步奖</w:t>
            </w:r>
          </w:p>
        </w:tc>
        <w:tc>
          <w:tcPr>
            <w:tcW w:w="407" w:type="pct"/>
            <w:vMerge w:val="restart"/>
            <w:tcBorders>
              <w:top w:val="single" w:color="000000" w:sz="4" w:space="0"/>
              <w:left w:val="single" w:color="000000" w:sz="4" w:space="0"/>
              <w:right w:val="single" w:color="000000" w:sz="4" w:space="0"/>
            </w:tcBorders>
            <w:shd w:val="clear" w:color="auto" w:fill="auto"/>
            <w:vAlign w:val="center"/>
          </w:tcPr>
          <w:p w14:paraId="2C66859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国家级</w:t>
            </w:r>
          </w:p>
          <w:p w14:paraId="460179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452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三级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236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1.每个一等奖前5作者加成2.3%；</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2.每个二等奖前4作者加成2.1%；</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3.每个三等奖第3作者加成2%。</w:t>
            </w:r>
          </w:p>
        </w:tc>
        <w:tc>
          <w:tcPr>
            <w:tcW w:w="1696" w:type="pct"/>
            <w:vMerge w:val="restart"/>
            <w:tcBorders>
              <w:top w:val="single" w:color="000000" w:sz="4" w:space="0"/>
              <w:left w:val="single" w:color="000000" w:sz="4" w:space="0"/>
              <w:right w:val="single" w:color="000000" w:sz="4" w:space="0"/>
            </w:tcBorders>
            <w:shd w:val="clear" w:color="auto" w:fill="auto"/>
            <w:vAlign w:val="center"/>
          </w:tcPr>
          <w:p w14:paraId="1866B67A">
            <w:pPr>
              <w:keepNext w:val="0"/>
              <w:keepLines w:val="0"/>
              <w:widowControl/>
              <w:suppressLineNumbers w:val="0"/>
              <w:jc w:val="left"/>
              <w:textAlignment w:val="center"/>
              <w:rPr>
                <w:rStyle w:val="11"/>
                <w:rFonts w:hint="eastAsia" w:ascii="仿宋_GB2312" w:hAnsi="仿宋_GB2312" w:eastAsia="仿宋_GB2312" w:cs="仿宋_GB2312"/>
                <w:color w:val="auto"/>
                <w:sz w:val="22"/>
                <w:szCs w:val="22"/>
                <w:highlight w:val="none"/>
                <w:u w:val="none"/>
                <w:lang w:val="en-US" w:eastAsia="zh-CN" w:bidi="ar"/>
              </w:rPr>
            </w:pPr>
            <w:r>
              <w:rPr>
                <w:rStyle w:val="11"/>
                <w:rFonts w:hint="eastAsia" w:ascii="仿宋_GB2312" w:hAnsi="仿宋_GB2312" w:eastAsia="仿宋_GB2312" w:cs="仿宋_GB2312"/>
                <w:color w:val="auto"/>
                <w:sz w:val="22"/>
                <w:szCs w:val="22"/>
                <w:highlight w:val="none"/>
                <w:u w:val="none"/>
                <w:lang w:val="en-US" w:eastAsia="zh-CN" w:bidi="ar"/>
              </w:rPr>
              <w:br w:type="textWrapping"/>
            </w:r>
          </w:p>
          <w:p w14:paraId="3DCC1B8D">
            <w:pPr>
              <w:keepNext w:val="0"/>
              <w:keepLines w:val="0"/>
              <w:widowControl/>
              <w:suppressLineNumbers w:val="0"/>
              <w:jc w:val="left"/>
              <w:textAlignment w:val="center"/>
              <w:rPr>
                <w:rStyle w:val="11"/>
                <w:rFonts w:hint="eastAsia" w:ascii="仿宋_GB2312" w:hAnsi="仿宋_GB2312" w:eastAsia="仿宋_GB2312" w:cs="仿宋_GB2312"/>
                <w:color w:val="auto"/>
                <w:sz w:val="22"/>
                <w:szCs w:val="22"/>
                <w:highlight w:val="none"/>
                <w:u w:val="none"/>
                <w:lang w:val="en-US" w:eastAsia="zh-CN" w:bidi="ar"/>
              </w:rPr>
            </w:pPr>
          </w:p>
          <w:p w14:paraId="633939C4">
            <w:pPr>
              <w:keepNext w:val="0"/>
              <w:keepLines w:val="0"/>
              <w:widowControl/>
              <w:suppressLineNumbers w:val="0"/>
              <w:jc w:val="left"/>
              <w:textAlignment w:val="center"/>
              <w:rPr>
                <w:rStyle w:val="11"/>
                <w:rFonts w:hint="eastAsia" w:ascii="仿宋_GB2312" w:hAnsi="仿宋_GB2312" w:eastAsia="仿宋_GB2312" w:cs="仿宋_GB2312"/>
                <w:color w:val="auto"/>
                <w:sz w:val="22"/>
                <w:szCs w:val="22"/>
                <w:highlight w:val="none"/>
                <w:u w:val="none"/>
                <w:lang w:val="en-US" w:eastAsia="zh-CN" w:bidi="ar"/>
              </w:rPr>
            </w:pPr>
          </w:p>
          <w:p w14:paraId="534187E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Style w:val="11"/>
                <w:rFonts w:hint="eastAsia" w:ascii="仿宋_GB2312" w:hAnsi="仿宋_GB2312" w:eastAsia="仿宋_GB2312" w:cs="仿宋_GB2312"/>
                <w:color w:val="auto"/>
                <w:sz w:val="22"/>
                <w:szCs w:val="22"/>
                <w:highlight w:val="none"/>
                <w:u w:val="none"/>
                <w:lang w:val="en-US" w:eastAsia="zh-CN" w:bidi="ar"/>
              </w:rPr>
              <w:t>1.该加成项目为本结算年度获得的科技进步奖项目，</w:t>
            </w:r>
            <w:r>
              <w:rPr>
                <w:rStyle w:val="11"/>
                <w:rFonts w:hint="eastAsia" w:ascii="仿宋_GB2312" w:hAnsi="仿宋_GB2312" w:eastAsia="仿宋_GB2312" w:cs="仿宋_GB2312"/>
                <w:b w:val="0"/>
                <w:bCs w:val="0"/>
                <w:color w:val="auto"/>
                <w:sz w:val="22"/>
                <w:szCs w:val="22"/>
                <w:highlight w:val="none"/>
                <w:u w:val="none"/>
                <w:lang w:val="en-US" w:eastAsia="zh-CN" w:bidi="ar"/>
              </w:rPr>
              <w:t>且可连续加成3年；</w:t>
            </w:r>
            <w:r>
              <w:rPr>
                <w:rStyle w:val="11"/>
                <w:rFonts w:hint="eastAsia" w:ascii="仿宋_GB2312" w:hAnsi="仿宋_GB2312" w:eastAsia="仿宋_GB2312" w:cs="仿宋_GB2312"/>
                <w:color w:val="auto"/>
                <w:sz w:val="22"/>
                <w:szCs w:val="22"/>
                <w:highlight w:val="none"/>
                <w:u w:val="none"/>
                <w:lang w:val="en-US" w:eastAsia="zh-CN" w:bidi="ar"/>
              </w:rPr>
              <w:br w:type="textWrapping"/>
            </w:r>
            <w:r>
              <w:rPr>
                <w:rStyle w:val="11"/>
                <w:rFonts w:hint="eastAsia" w:ascii="仿宋_GB2312" w:hAnsi="仿宋_GB2312" w:eastAsia="仿宋_GB2312" w:cs="仿宋_GB2312"/>
                <w:color w:val="auto"/>
                <w:sz w:val="22"/>
                <w:szCs w:val="22"/>
                <w:highlight w:val="none"/>
                <w:u w:val="none"/>
                <w:lang w:val="en-US" w:eastAsia="zh-CN" w:bidi="ar"/>
              </w:rPr>
              <w:t>2.科技进步奖项目总加成不超过1.8%，三级医疗机构和二级及以下医疗机构有省级科技进步一等奖的总加成限制分别提升至不超过2%和2.1%，有国家级科技进步一等奖的总加成限制提升</w:t>
            </w:r>
            <w:bookmarkStart w:id="0" w:name="_GoBack"/>
            <w:bookmarkEnd w:id="0"/>
            <w:r>
              <w:rPr>
                <w:rStyle w:val="11"/>
                <w:rFonts w:hint="eastAsia" w:ascii="仿宋_GB2312" w:hAnsi="仿宋_GB2312" w:eastAsia="仿宋_GB2312" w:cs="仿宋_GB2312"/>
                <w:color w:val="auto"/>
                <w:sz w:val="22"/>
                <w:szCs w:val="22"/>
                <w:highlight w:val="none"/>
                <w:u w:val="none"/>
                <w:lang w:val="en-US" w:eastAsia="zh-CN" w:bidi="ar"/>
              </w:rPr>
              <w:t>不超过2.5%。</w:t>
            </w:r>
          </w:p>
        </w:tc>
      </w:tr>
      <w:tr w14:paraId="1107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10" w:type="pct"/>
            <w:vMerge w:val="continue"/>
            <w:tcBorders>
              <w:left w:val="single" w:color="000000" w:sz="4" w:space="0"/>
              <w:right w:val="single" w:color="000000" w:sz="4" w:space="0"/>
            </w:tcBorders>
            <w:shd w:val="clear" w:color="auto" w:fill="auto"/>
            <w:noWrap/>
            <w:vAlign w:val="center"/>
          </w:tcPr>
          <w:p w14:paraId="01F617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p>
        </w:tc>
        <w:tc>
          <w:tcPr>
            <w:tcW w:w="407" w:type="pct"/>
            <w:vMerge w:val="continue"/>
            <w:tcBorders>
              <w:left w:val="single" w:color="000000" w:sz="4" w:space="0"/>
              <w:bottom w:val="single" w:color="000000" w:sz="4" w:space="0"/>
              <w:right w:val="single" w:color="000000" w:sz="4" w:space="0"/>
            </w:tcBorders>
            <w:shd w:val="clear" w:color="auto" w:fill="auto"/>
            <w:vAlign w:val="center"/>
          </w:tcPr>
          <w:p w14:paraId="5183C47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975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二级及以下</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8FE9">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1.每个一等奖前5作者加成2.5%；</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2.每个二等奖前4作者加成2.3%；</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3.每个三等奖第3作者加成2.1%。</w:t>
            </w:r>
          </w:p>
        </w:tc>
        <w:tc>
          <w:tcPr>
            <w:tcW w:w="1696" w:type="pct"/>
            <w:vMerge w:val="continue"/>
            <w:tcBorders>
              <w:left w:val="single" w:color="000000" w:sz="4" w:space="0"/>
              <w:right w:val="single" w:color="000000" w:sz="4" w:space="0"/>
            </w:tcBorders>
            <w:shd w:val="clear" w:color="auto" w:fill="auto"/>
            <w:vAlign w:val="center"/>
          </w:tcPr>
          <w:p w14:paraId="46D5DC78">
            <w:pPr>
              <w:keepNext w:val="0"/>
              <w:keepLines w:val="0"/>
              <w:widowControl/>
              <w:suppressLineNumbers w:val="0"/>
              <w:jc w:val="left"/>
              <w:textAlignment w:val="center"/>
              <w:rPr>
                <w:rStyle w:val="11"/>
                <w:rFonts w:hint="eastAsia" w:ascii="仿宋_GB2312" w:hAnsi="仿宋_GB2312" w:eastAsia="仿宋_GB2312" w:cs="仿宋_GB2312"/>
                <w:color w:val="auto"/>
                <w:sz w:val="22"/>
                <w:szCs w:val="22"/>
                <w:highlight w:val="none"/>
                <w:u w:val="none"/>
                <w:lang w:val="en-US" w:eastAsia="zh-CN" w:bidi="ar"/>
              </w:rPr>
            </w:pPr>
          </w:p>
        </w:tc>
      </w:tr>
      <w:tr w14:paraId="36E3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0" w:type="pct"/>
            <w:vMerge w:val="continue"/>
            <w:tcBorders>
              <w:left w:val="single" w:color="000000" w:sz="4" w:space="0"/>
              <w:right w:val="single" w:color="000000" w:sz="4" w:space="0"/>
            </w:tcBorders>
            <w:shd w:val="clear" w:color="auto" w:fill="auto"/>
            <w:noWrap/>
            <w:vAlign w:val="center"/>
          </w:tcPr>
          <w:p w14:paraId="59E1166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044E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省级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24B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三级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570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1.每个一等奖前3作者加成2%；</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2.每个二等奖前2作者加成1.7%；</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3.每个三等奖第1作者加成0.8%。</w:t>
            </w:r>
          </w:p>
        </w:tc>
        <w:tc>
          <w:tcPr>
            <w:tcW w:w="1696" w:type="pct"/>
            <w:vMerge w:val="continue"/>
            <w:tcBorders>
              <w:left w:val="single" w:color="000000" w:sz="4" w:space="0"/>
              <w:right w:val="single" w:color="000000" w:sz="4" w:space="0"/>
            </w:tcBorders>
            <w:shd w:val="clear" w:color="auto" w:fill="auto"/>
            <w:vAlign w:val="center"/>
          </w:tcPr>
          <w:p w14:paraId="5E96025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p>
        </w:tc>
      </w:tr>
      <w:tr w14:paraId="46FC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10" w:type="pct"/>
            <w:vMerge w:val="continue"/>
            <w:tcBorders>
              <w:left w:val="single" w:color="000000" w:sz="4" w:space="0"/>
              <w:right w:val="single" w:color="000000" w:sz="4" w:space="0"/>
            </w:tcBorders>
            <w:shd w:val="clear" w:color="auto" w:fill="auto"/>
            <w:noWrap/>
            <w:vAlign w:val="center"/>
          </w:tcPr>
          <w:p w14:paraId="74176B20">
            <w:pPr>
              <w:jc w:val="center"/>
              <w:rPr>
                <w:rFonts w:hint="eastAsia" w:ascii="仿宋_GB2312" w:hAnsi="仿宋_GB2312" w:eastAsia="仿宋_GB2312" w:cs="仿宋_GB2312"/>
                <w:i w:val="0"/>
                <w:iCs w:val="0"/>
                <w:color w:val="auto"/>
                <w:sz w:val="22"/>
                <w:szCs w:val="22"/>
                <w:highlight w:val="none"/>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9029">
            <w:pPr>
              <w:jc w:val="center"/>
              <w:rPr>
                <w:rFonts w:hint="eastAsia" w:ascii="仿宋_GB2312" w:hAnsi="仿宋_GB2312" w:eastAsia="仿宋_GB2312" w:cs="仿宋_GB2312"/>
                <w:i w:val="0"/>
                <w:iCs w:val="0"/>
                <w:color w:val="auto"/>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F43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二级及以下</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A45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1.每个一等奖前3作者加成2.1%；</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2.每个二等奖前2作者加成1.8%；</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3.每个三等奖第1作者加成1%。</w:t>
            </w:r>
          </w:p>
        </w:tc>
        <w:tc>
          <w:tcPr>
            <w:tcW w:w="1696" w:type="pct"/>
            <w:vMerge w:val="continue"/>
            <w:tcBorders>
              <w:left w:val="single" w:color="000000" w:sz="4" w:space="0"/>
              <w:right w:val="single" w:color="000000" w:sz="4" w:space="0"/>
            </w:tcBorders>
            <w:shd w:val="clear" w:color="auto" w:fill="auto"/>
            <w:vAlign w:val="center"/>
          </w:tcPr>
          <w:p w14:paraId="210C0945">
            <w:pPr>
              <w:jc w:val="left"/>
              <w:rPr>
                <w:rFonts w:hint="eastAsia" w:ascii="仿宋_GB2312" w:hAnsi="仿宋_GB2312" w:eastAsia="仿宋_GB2312" w:cs="仿宋_GB2312"/>
                <w:i w:val="0"/>
                <w:iCs w:val="0"/>
                <w:color w:val="auto"/>
                <w:sz w:val="22"/>
                <w:szCs w:val="22"/>
                <w:highlight w:val="none"/>
                <w:u w:val="none"/>
              </w:rPr>
            </w:pPr>
          </w:p>
        </w:tc>
      </w:tr>
      <w:tr w14:paraId="67E1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0" w:type="pct"/>
            <w:vMerge w:val="continue"/>
            <w:tcBorders>
              <w:left w:val="single" w:color="000000" w:sz="4" w:space="0"/>
              <w:right w:val="single" w:color="000000" w:sz="4" w:space="0"/>
            </w:tcBorders>
            <w:shd w:val="clear" w:color="auto" w:fill="auto"/>
            <w:noWrap/>
            <w:vAlign w:val="center"/>
          </w:tcPr>
          <w:p w14:paraId="64606556">
            <w:pPr>
              <w:jc w:val="center"/>
              <w:rPr>
                <w:rFonts w:hint="eastAsia" w:ascii="仿宋_GB2312" w:hAnsi="仿宋_GB2312" w:eastAsia="仿宋_GB2312" w:cs="仿宋_GB2312"/>
                <w:i w:val="0"/>
                <w:iCs w:val="0"/>
                <w:color w:val="auto"/>
                <w:sz w:val="22"/>
                <w:szCs w:val="22"/>
                <w:highlight w:val="none"/>
                <w:u w:val="none"/>
              </w:rPr>
            </w:pP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C66F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市级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23D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三级</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34E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1.每个一等奖前3作者加成0.8%；</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2.每个二等奖前2作者加成0.4%；</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3.每个三等奖第1作者加成0.1%。</w:t>
            </w:r>
          </w:p>
        </w:tc>
        <w:tc>
          <w:tcPr>
            <w:tcW w:w="1696" w:type="pct"/>
            <w:vMerge w:val="continue"/>
            <w:tcBorders>
              <w:left w:val="single" w:color="000000" w:sz="4" w:space="0"/>
              <w:right w:val="single" w:color="000000" w:sz="4" w:space="0"/>
            </w:tcBorders>
            <w:shd w:val="clear" w:color="auto" w:fill="auto"/>
            <w:vAlign w:val="center"/>
          </w:tcPr>
          <w:p w14:paraId="232A412F">
            <w:pPr>
              <w:jc w:val="left"/>
              <w:rPr>
                <w:rFonts w:hint="eastAsia" w:ascii="仿宋_GB2312" w:hAnsi="仿宋_GB2312" w:eastAsia="仿宋_GB2312" w:cs="仿宋_GB2312"/>
                <w:i w:val="0"/>
                <w:iCs w:val="0"/>
                <w:color w:val="auto"/>
                <w:sz w:val="22"/>
                <w:szCs w:val="22"/>
                <w:highlight w:val="none"/>
                <w:u w:val="none"/>
              </w:rPr>
            </w:pPr>
          </w:p>
        </w:tc>
      </w:tr>
      <w:tr w14:paraId="54A4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0" w:type="pct"/>
            <w:vMerge w:val="continue"/>
            <w:tcBorders>
              <w:left w:val="single" w:color="000000" w:sz="4" w:space="0"/>
              <w:bottom w:val="single" w:color="000000" w:sz="4" w:space="0"/>
              <w:right w:val="single" w:color="000000" w:sz="4" w:space="0"/>
            </w:tcBorders>
            <w:shd w:val="clear" w:color="auto" w:fill="auto"/>
            <w:noWrap/>
            <w:vAlign w:val="center"/>
          </w:tcPr>
          <w:p w14:paraId="163562C9">
            <w:pPr>
              <w:jc w:val="center"/>
              <w:rPr>
                <w:rFonts w:hint="eastAsia" w:ascii="仿宋_GB2312" w:hAnsi="仿宋_GB2312" w:eastAsia="仿宋_GB2312" w:cs="仿宋_GB2312"/>
                <w:i w:val="0"/>
                <w:iCs w:val="0"/>
                <w:color w:val="auto"/>
                <w:sz w:val="22"/>
                <w:szCs w:val="22"/>
                <w:highlight w:val="none"/>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8020">
            <w:pPr>
              <w:jc w:val="center"/>
              <w:rPr>
                <w:rFonts w:hint="eastAsia" w:ascii="仿宋_GB2312" w:hAnsi="仿宋_GB2312" w:eastAsia="仿宋_GB2312" w:cs="仿宋_GB2312"/>
                <w:i w:val="0"/>
                <w:iCs w:val="0"/>
                <w:color w:val="auto"/>
                <w:sz w:val="22"/>
                <w:szCs w:val="22"/>
                <w:highlight w:val="none"/>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F28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二级及以下</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682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1.每个一等奖前3作者加成1%；</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2.每个二等奖前2作者加成0.5%；</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3.每个三等奖第1作者加成0.2%。</w:t>
            </w:r>
          </w:p>
        </w:tc>
        <w:tc>
          <w:tcPr>
            <w:tcW w:w="1696" w:type="pct"/>
            <w:vMerge w:val="continue"/>
            <w:tcBorders>
              <w:left w:val="single" w:color="000000" w:sz="4" w:space="0"/>
              <w:bottom w:val="single" w:color="000000" w:sz="4" w:space="0"/>
              <w:right w:val="single" w:color="000000" w:sz="4" w:space="0"/>
            </w:tcBorders>
            <w:shd w:val="clear" w:color="auto" w:fill="auto"/>
            <w:vAlign w:val="center"/>
          </w:tcPr>
          <w:p w14:paraId="391B96F6">
            <w:pPr>
              <w:jc w:val="left"/>
              <w:rPr>
                <w:rFonts w:hint="eastAsia" w:ascii="仿宋_GB2312" w:hAnsi="仿宋_GB2312" w:eastAsia="仿宋_GB2312" w:cs="仿宋_GB2312"/>
                <w:i w:val="0"/>
                <w:iCs w:val="0"/>
                <w:color w:val="auto"/>
                <w:sz w:val="22"/>
                <w:szCs w:val="22"/>
                <w:highlight w:val="none"/>
                <w:u w:val="none"/>
              </w:rPr>
            </w:pPr>
          </w:p>
        </w:tc>
      </w:tr>
      <w:tr w14:paraId="2C9C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CBE2">
            <w:pPr>
              <w:jc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省医疗机构医药服务评价应用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BE5C">
            <w:pPr>
              <w:jc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省级</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8DB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纳入评价范围的医疗机构</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BDD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1.总得分全省排名前10%的加成1.2%;</w:t>
            </w:r>
          </w:p>
          <w:p w14:paraId="3A76B26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2.单项维度全省排名前10%的加成0.05%,累计不超过1%。</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0DC4">
            <w:pPr>
              <w:jc w:val="left"/>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该项目总加成不超过1.5%。</w:t>
            </w:r>
          </w:p>
        </w:tc>
      </w:tr>
    </w:tbl>
    <w:p w14:paraId="3C488C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2"/>
          <w:szCs w:val="22"/>
          <w:highlight w:val="none"/>
        </w:rPr>
      </w:pPr>
    </w:p>
    <w:p w14:paraId="2B33A6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auto"/>
          <w:sz w:val="32"/>
          <w:szCs w:val="32"/>
          <w:highlight w:val="none"/>
          <w:lang w:val="en-US" w:eastAsia="zh-CN"/>
        </w:rPr>
      </w:pPr>
    </w:p>
    <w:p w14:paraId="41B605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36069C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4EE8E6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05CE59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75765C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p w14:paraId="5667DE7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sectPr>
          <w:pgSz w:w="16838" w:h="11906" w:orient="landscape"/>
          <w:pgMar w:top="1633" w:right="1440" w:bottom="1633" w:left="1440" w:header="851" w:footer="992" w:gutter="0"/>
          <w:pgNumType w:fmt="numberInDash"/>
          <w:cols w:space="0" w:num="1"/>
          <w:rtlGutter w:val="0"/>
          <w:docGrid w:type="lines" w:linePitch="320" w:charSpace="0"/>
        </w:sectPr>
      </w:pPr>
    </w:p>
    <w:p w14:paraId="5A5BBF0F">
      <w:pPr>
        <w:widowControl/>
        <w:kinsoku w:val="0"/>
        <w:autoSpaceDE w:val="0"/>
        <w:autoSpaceDN w:val="0"/>
        <w:adjustRightInd w:val="0"/>
        <w:snapToGrid w:val="0"/>
        <w:spacing w:before="51" w:line="219" w:lineRule="auto"/>
        <w:ind w:left="5"/>
        <w:jc w:val="left"/>
        <w:textAlignment w:val="baseline"/>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spacing w:val="-7"/>
          <w:kern w:val="0"/>
          <w:sz w:val="32"/>
          <w:szCs w:val="32"/>
          <w:highlight w:val="none"/>
        </w:rPr>
        <w:t>附</w:t>
      </w:r>
      <w:r>
        <w:rPr>
          <w:rFonts w:hint="eastAsia" w:ascii="仿宋_GB2312" w:hAnsi="仿宋_GB2312" w:eastAsia="仿宋_GB2312" w:cs="仿宋_GB2312"/>
          <w:snapToGrid w:val="0"/>
          <w:color w:val="auto"/>
          <w:spacing w:val="-7"/>
          <w:kern w:val="0"/>
          <w:sz w:val="32"/>
          <w:szCs w:val="32"/>
          <w:highlight w:val="none"/>
          <w:lang w:val="en-US" w:eastAsia="zh-CN"/>
        </w:rPr>
        <w:t>件1-</w:t>
      </w:r>
      <w:r>
        <w:rPr>
          <w:rFonts w:hint="eastAsia" w:ascii="仿宋_GB2312" w:hAnsi="仿宋_GB2312" w:eastAsia="仿宋_GB2312" w:cs="仿宋_GB2312"/>
          <w:snapToGrid w:val="0"/>
          <w:color w:val="auto"/>
          <w:spacing w:val="-7"/>
          <w:kern w:val="0"/>
          <w:sz w:val="32"/>
          <w:szCs w:val="32"/>
          <w:highlight w:val="none"/>
        </w:rPr>
        <w:t>2</w:t>
      </w:r>
    </w:p>
    <w:p w14:paraId="5776A766">
      <w:pPr>
        <w:widowControl/>
        <w:kinsoku w:val="0"/>
        <w:autoSpaceDE w:val="0"/>
        <w:autoSpaceDN w:val="0"/>
        <w:adjustRightInd w:val="0"/>
        <w:snapToGrid w:val="0"/>
        <w:spacing w:before="231" w:line="219" w:lineRule="auto"/>
        <w:ind w:left="2819"/>
        <w:jc w:val="left"/>
        <w:textAlignment w:val="baseline"/>
        <w:rPr>
          <w:rFonts w:hint="eastAsia" w:ascii="方正小标宋简体" w:hAnsi="方正小标宋简体" w:eastAsia="方正小标宋简体" w:cs="方正小标宋简体"/>
          <w:b w:val="0"/>
          <w:bCs w:val="0"/>
          <w:snapToGrid w:val="0"/>
          <w:color w:val="auto"/>
          <w:kern w:val="0"/>
          <w:sz w:val="32"/>
          <w:szCs w:val="32"/>
          <w:highlight w:val="none"/>
        </w:rPr>
      </w:pPr>
      <w:r>
        <w:rPr>
          <w:rFonts w:hint="eastAsia" w:ascii="方正小标宋简体" w:hAnsi="方正小标宋简体" w:eastAsia="方正小标宋简体" w:cs="方正小标宋简体"/>
          <w:b w:val="0"/>
          <w:bCs w:val="0"/>
          <w:snapToGrid w:val="0"/>
          <w:color w:val="auto"/>
          <w:spacing w:val="-10"/>
          <w:kern w:val="0"/>
          <w:sz w:val="32"/>
          <w:szCs w:val="32"/>
          <w:highlight w:val="none"/>
        </w:rPr>
        <w:t>医院技术水平加成系数申请表</w:t>
      </w:r>
    </w:p>
    <w:p w14:paraId="1F652266">
      <w:pPr>
        <w:widowControl/>
        <w:kinsoku w:val="0"/>
        <w:autoSpaceDE w:val="0"/>
        <w:autoSpaceDN w:val="0"/>
        <w:adjustRightInd w:val="0"/>
        <w:snapToGrid w:val="0"/>
        <w:spacing w:line="336" w:lineRule="auto"/>
        <w:jc w:val="left"/>
        <w:textAlignment w:val="baseline"/>
        <w:rPr>
          <w:rFonts w:ascii="Arial" w:hAnsi="Arial" w:eastAsia="Arial" w:cs="Arial"/>
          <w:snapToGrid w:val="0"/>
          <w:color w:val="auto"/>
          <w:kern w:val="0"/>
          <w:sz w:val="21"/>
          <w:szCs w:val="21"/>
          <w:highlight w:val="none"/>
        </w:rPr>
      </w:pPr>
    </w:p>
    <w:p w14:paraId="14ED6E44">
      <w:pPr>
        <w:widowControl/>
        <w:kinsoku w:val="0"/>
        <w:autoSpaceDE w:val="0"/>
        <w:autoSpaceDN w:val="0"/>
        <w:adjustRightInd w:val="0"/>
        <w:snapToGrid w:val="0"/>
        <w:spacing w:before="84" w:line="229" w:lineRule="auto"/>
        <w:ind w:left="8"/>
        <w:jc w:val="left"/>
        <w:textAlignment w:val="baseline"/>
        <w:rPr>
          <w:rFonts w:hint="eastAsia" w:ascii="仿宋_GB2312" w:hAnsi="仿宋_GB2312" w:eastAsia="仿宋_GB2312" w:cs="仿宋_GB2312"/>
          <w:b/>
          <w:bCs/>
          <w:snapToGrid w:val="0"/>
          <w:color w:val="auto"/>
          <w:spacing w:val="0"/>
          <w:kern w:val="0"/>
          <w:sz w:val="26"/>
          <w:szCs w:val="26"/>
          <w:highlight w:val="none"/>
        </w:rPr>
      </w:pPr>
      <w:r>
        <w:rPr>
          <w:rFonts w:hint="eastAsia" w:ascii="仿宋_GB2312" w:hAnsi="仿宋_GB2312" w:eastAsia="仿宋_GB2312" w:cs="仿宋_GB2312"/>
          <w:b/>
          <w:bCs/>
          <w:snapToGrid w:val="0"/>
          <w:color w:val="auto"/>
          <w:spacing w:val="0"/>
          <w:kern w:val="0"/>
          <w:position w:val="-1"/>
          <w:sz w:val="26"/>
          <w:szCs w:val="26"/>
          <w:highlight w:val="none"/>
        </w:rPr>
        <w:t>辖区：□市直□县</w:t>
      </w:r>
      <w:r>
        <w:rPr>
          <w:rFonts w:hint="eastAsia" w:ascii="仿宋_GB2312" w:hAnsi="仿宋_GB2312" w:eastAsia="仿宋_GB2312" w:cs="仿宋_GB2312"/>
          <w:b/>
          <w:bCs/>
          <w:snapToGrid w:val="0"/>
          <w:color w:val="auto"/>
          <w:spacing w:val="0"/>
          <w:kern w:val="0"/>
          <w:position w:val="-1"/>
          <w:sz w:val="26"/>
          <w:szCs w:val="26"/>
          <w:highlight w:val="none"/>
          <w:lang w:eastAsia="zh-CN"/>
        </w:rPr>
        <w:t>（</w:t>
      </w:r>
      <w:r>
        <w:rPr>
          <w:rFonts w:hint="eastAsia" w:ascii="仿宋_GB2312" w:hAnsi="仿宋_GB2312" w:eastAsia="仿宋_GB2312" w:cs="仿宋_GB2312"/>
          <w:b/>
          <w:bCs/>
          <w:snapToGrid w:val="0"/>
          <w:color w:val="auto"/>
          <w:spacing w:val="0"/>
          <w:kern w:val="0"/>
          <w:position w:val="-1"/>
          <w:sz w:val="26"/>
          <w:szCs w:val="26"/>
          <w:highlight w:val="none"/>
        </w:rPr>
        <w:t>区</w:t>
      </w:r>
      <w:r>
        <w:rPr>
          <w:rFonts w:hint="eastAsia" w:ascii="仿宋_GB2312" w:hAnsi="仿宋_GB2312" w:eastAsia="仿宋_GB2312" w:cs="仿宋_GB2312"/>
          <w:b/>
          <w:bCs/>
          <w:snapToGrid w:val="0"/>
          <w:color w:val="auto"/>
          <w:spacing w:val="0"/>
          <w:kern w:val="0"/>
          <w:position w:val="-1"/>
          <w:sz w:val="26"/>
          <w:szCs w:val="26"/>
          <w:highlight w:val="none"/>
          <w:lang w:eastAsia="zh-CN"/>
        </w:rPr>
        <w:t>）</w:t>
      </w:r>
      <w:r>
        <w:rPr>
          <w:rFonts w:hint="eastAsia" w:ascii="仿宋_GB2312" w:hAnsi="仿宋_GB2312" w:eastAsia="仿宋_GB2312" w:cs="仿宋_GB2312"/>
          <w:b/>
          <w:bCs/>
          <w:snapToGrid w:val="0"/>
          <w:color w:val="auto"/>
          <w:spacing w:val="0"/>
          <w:kern w:val="0"/>
          <w:position w:val="-1"/>
          <w:sz w:val="26"/>
          <w:szCs w:val="26"/>
          <w:highlight w:val="none"/>
        </w:rPr>
        <w:t xml:space="preserve">        </w:t>
      </w:r>
      <w:r>
        <w:rPr>
          <w:rFonts w:hint="eastAsia" w:ascii="仿宋_GB2312" w:hAnsi="仿宋_GB2312" w:eastAsia="仿宋_GB2312" w:cs="仿宋_GB2312"/>
          <w:b/>
          <w:bCs/>
          <w:snapToGrid w:val="0"/>
          <w:color w:val="auto"/>
          <w:spacing w:val="0"/>
          <w:kern w:val="0"/>
          <w:position w:val="-1"/>
          <w:sz w:val="26"/>
          <w:szCs w:val="26"/>
          <w:highlight w:val="none"/>
          <w:lang w:val="en-US" w:eastAsia="zh-CN"/>
        </w:rPr>
        <w:t xml:space="preserve"> </w:t>
      </w:r>
      <w:r>
        <w:rPr>
          <w:rFonts w:hint="eastAsia" w:ascii="仿宋_GB2312" w:hAnsi="仿宋_GB2312" w:eastAsia="仿宋_GB2312" w:cs="仿宋_GB2312"/>
          <w:b/>
          <w:bCs/>
          <w:snapToGrid w:val="0"/>
          <w:color w:val="auto"/>
          <w:spacing w:val="0"/>
          <w:kern w:val="0"/>
          <w:position w:val="1"/>
          <w:sz w:val="26"/>
          <w:szCs w:val="26"/>
          <w:highlight w:val="none"/>
        </w:rPr>
        <w:t>医院级别：□三级</w:t>
      </w:r>
      <w:r>
        <w:rPr>
          <w:rFonts w:hint="eastAsia" w:ascii="仿宋_GB2312" w:hAnsi="仿宋_GB2312" w:eastAsia="仿宋_GB2312" w:cs="仿宋_GB2312"/>
          <w:b/>
          <w:bCs/>
          <w:snapToGrid w:val="0"/>
          <w:color w:val="auto"/>
          <w:spacing w:val="0"/>
          <w:kern w:val="0"/>
          <w:position w:val="1"/>
          <w:sz w:val="26"/>
          <w:szCs w:val="26"/>
          <w:highlight w:val="none"/>
          <w:lang w:eastAsia="zh-CN"/>
        </w:rPr>
        <w:t>□</w:t>
      </w:r>
      <w:r>
        <w:rPr>
          <w:rFonts w:hint="eastAsia" w:ascii="仿宋_GB2312" w:hAnsi="仿宋_GB2312" w:eastAsia="仿宋_GB2312" w:cs="仿宋_GB2312"/>
          <w:b/>
          <w:bCs/>
          <w:snapToGrid w:val="0"/>
          <w:color w:val="auto"/>
          <w:spacing w:val="0"/>
          <w:kern w:val="0"/>
          <w:position w:val="1"/>
          <w:sz w:val="26"/>
          <w:szCs w:val="26"/>
          <w:highlight w:val="none"/>
        </w:rPr>
        <w:t>二级及以下</w:t>
      </w:r>
    </w:p>
    <w:p w14:paraId="7A2C3E07">
      <w:pPr>
        <w:widowControl/>
        <w:kinsoku w:val="0"/>
        <w:autoSpaceDE w:val="0"/>
        <w:autoSpaceDN w:val="0"/>
        <w:adjustRightInd w:val="0"/>
        <w:snapToGrid w:val="0"/>
        <w:spacing w:line="259" w:lineRule="auto"/>
        <w:jc w:val="left"/>
        <w:textAlignment w:val="baseline"/>
        <w:rPr>
          <w:rFonts w:hint="eastAsia" w:ascii="仿宋_GB2312" w:hAnsi="仿宋_GB2312" w:eastAsia="仿宋_GB2312" w:cs="仿宋_GB2312"/>
          <w:b/>
          <w:bCs/>
          <w:snapToGrid w:val="0"/>
          <w:color w:val="auto"/>
          <w:spacing w:val="0"/>
          <w:kern w:val="0"/>
          <w:sz w:val="21"/>
          <w:szCs w:val="21"/>
          <w:highlight w:val="none"/>
        </w:rPr>
      </w:pPr>
    </w:p>
    <w:p w14:paraId="5D81E8C4">
      <w:pPr>
        <w:widowControl/>
        <w:kinsoku w:val="0"/>
        <w:autoSpaceDE w:val="0"/>
        <w:autoSpaceDN w:val="0"/>
        <w:adjustRightInd w:val="0"/>
        <w:snapToGrid w:val="0"/>
        <w:spacing w:before="85" w:line="230" w:lineRule="auto"/>
        <w:ind w:left="8"/>
        <w:jc w:val="left"/>
        <w:textAlignment w:val="baseline"/>
        <w:rPr>
          <w:rFonts w:hint="eastAsia" w:ascii="仿宋" w:hAnsi="仿宋" w:eastAsia="仿宋" w:cs="仿宋"/>
          <w:b/>
          <w:bCs/>
          <w:snapToGrid w:val="0"/>
          <w:color w:val="auto"/>
          <w:spacing w:val="0"/>
          <w:kern w:val="0"/>
          <w:sz w:val="26"/>
          <w:szCs w:val="26"/>
          <w:highlight w:val="none"/>
        </w:rPr>
      </w:pPr>
      <w:r>
        <w:rPr>
          <w:rFonts w:hint="eastAsia" w:ascii="仿宋_GB2312" w:hAnsi="仿宋_GB2312" w:eastAsia="仿宋_GB2312" w:cs="仿宋_GB2312"/>
          <w:b/>
          <w:bCs/>
          <w:snapToGrid w:val="0"/>
          <w:color w:val="auto"/>
          <w:spacing w:val="0"/>
          <w:kern w:val="0"/>
          <w:position w:val="-2"/>
          <w:sz w:val="26"/>
          <w:szCs w:val="26"/>
          <w:highlight w:val="none"/>
        </w:rPr>
        <w:t>医院名称</w:t>
      </w:r>
      <w:r>
        <w:rPr>
          <w:rFonts w:hint="eastAsia" w:ascii="仿宋_GB2312" w:hAnsi="仿宋_GB2312" w:eastAsia="仿宋_GB2312" w:cs="仿宋_GB2312"/>
          <w:b/>
          <w:bCs/>
          <w:snapToGrid w:val="0"/>
          <w:color w:val="auto"/>
          <w:spacing w:val="0"/>
          <w:kern w:val="0"/>
          <w:position w:val="-2"/>
          <w:sz w:val="26"/>
          <w:szCs w:val="26"/>
          <w:highlight w:val="none"/>
          <w:lang w:eastAsia="zh-CN"/>
        </w:rPr>
        <w:t>（</w:t>
      </w:r>
      <w:r>
        <w:rPr>
          <w:rFonts w:hint="eastAsia" w:ascii="仿宋_GB2312" w:hAnsi="仿宋_GB2312" w:eastAsia="仿宋_GB2312" w:cs="仿宋_GB2312"/>
          <w:b/>
          <w:bCs/>
          <w:snapToGrid w:val="0"/>
          <w:color w:val="auto"/>
          <w:spacing w:val="0"/>
          <w:kern w:val="0"/>
          <w:position w:val="-2"/>
          <w:sz w:val="26"/>
          <w:szCs w:val="26"/>
          <w:highlight w:val="none"/>
        </w:rPr>
        <w:t>盖章</w:t>
      </w:r>
      <w:r>
        <w:rPr>
          <w:rFonts w:hint="eastAsia" w:ascii="仿宋_GB2312" w:hAnsi="仿宋_GB2312" w:eastAsia="仿宋_GB2312" w:cs="仿宋_GB2312"/>
          <w:b/>
          <w:bCs/>
          <w:snapToGrid w:val="0"/>
          <w:color w:val="auto"/>
          <w:spacing w:val="0"/>
          <w:kern w:val="0"/>
          <w:position w:val="-2"/>
          <w:sz w:val="26"/>
          <w:szCs w:val="26"/>
          <w:highlight w:val="none"/>
          <w:lang w:eastAsia="zh-CN"/>
        </w:rPr>
        <w:t>）</w:t>
      </w:r>
      <w:r>
        <w:rPr>
          <w:rFonts w:hint="eastAsia" w:ascii="仿宋_GB2312" w:hAnsi="仿宋_GB2312" w:eastAsia="仿宋_GB2312" w:cs="仿宋_GB2312"/>
          <w:b/>
          <w:bCs/>
          <w:snapToGrid w:val="0"/>
          <w:color w:val="auto"/>
          <w:spacing w:val="0"/>
          <w:kern w:val="0"/>
          <w:position w:val="-2"/>
          <w:sz w:val="26"/>
          <w:szCs w:val="26"/>
          <w:highlight w:val="none"/>
        </w:rPr>
        <w:t xml:space="preserve">:              </w:t>
      </w:r>
      <w:r>
        <w:rPr>
          <w:rFonts w:hint="eastAsia" w:ascii="仿宋_GB2312" w:hAnsi="仿宋_GB2312" w:eastAsia="仿宋_GB2312" w:cs="仿宋_GB2312"/>
          <w:b/>
          <w:bCs/>
          <w:snapToGrid w:val="0"/>
          <w:color w:val="auto"/>
          <w:spacing w:val="0"/>
          <w:kern w:val="0"/>
          <w:position w:val="2"/>
          <w:sz w:val="26"/>
          <w:szCs w:val="26"/>
          <w:highlight w:val="none"/>
        </w:rPr>
        <w:t xml:space="preserve">申请时间：   </w:t>
      </w:r>
      <w:r>
        <w:rPr>
          <w:rFonts w:hint="eastAsia" w:ascii="仿宋_GB2312" w:hAnsi="仿宋_GB2312" w:eastAsia="仿宋_GB2312" w:cs="仿宋_GB2312"/>
          <w:b/>
          <w:bCs/>
          <w:snapToGrid w:val="0"/>
          <w:color w:val="auto"/>
          <w:spacing w:val="0"/>
          <w:kern w:val="0"/>
          <w:position w:val="2"/>
          <w:sz w:val="26"/>
          <w:szCs w:val="26"/>
          <w:highlight w:val="none"/>
          <w:lang w:val="en-US" w:eastAsia="zh-CN"/>
        </w:rPr>
        <w:t xml:space="preserve"> </w:t>
      </w:r>
      <w:r>
        <w:rPr>
          <w:rFonts w:hint="eastAsia" w:ascii="仿宋_GB2312" w:hAnsi="仿宋_GB2312" w:eastAsia="仿宋_GB2312" w:cs="仿宋_GB2312"/>
          <w:b/>
          <w:bCs/>
          <w:snapToGrid w:val="0"/>
          <w:color w:val="auto"/>
          <w:spacing w:val="0"/>
          <w:kern w:val="0"/>
          <w:position w:val="2"/>
          <w:sz w:val="26"/>
          <w:szCs w:val="26"/>
          <w:highlight w:val="none"/>
        </w:rPr>
        <w:t>年</w:t>
      </w:r>
      <w:r>
        <w:rPr>
          <w:rFonts w:hint="eastAsia" w:ascii="仿宋_GB2312" w:hAnsi="仿宋_GB2312" w:eastAsia="仿宋_GB2312" w:cs="仿宋_GB2312"/>
          <w:b/>
          <w:bCs/>
          <w:snapToGrid w:val="0"/>
          <w:color w:val="auto"/>
          <w:spacing w:val="0"/>
          <w:kern w:val="0"/>
          <w:position w:val="2"/>
          <w:sz w:val="26"/>
          <w:szCs w:val="26"/>
          <w:highlight w:val="none"/>
          <w:lang w:val="en-US" w:eastAsia="zh-CN"/>
        </w:rPr>
        <w:t xml:space="preserve"> </w:t>
      </w:r>
      <w:r>
        <w:rPr>
          <w:rFonts w:hint="eastAsia" w:ascii="仿宋_GB2312" w:hAnsi="仿宋_GB2312" w:eastAsia="仿宋_GB2312" w:cs="仿宋_GB2312"/>
          <w:b/>
          <w:bCs/>
          <w:snapToGrid w:val="0"/>
          <w:color w:val="auto"/>
          <w:spacing w:val="0"/>
          <w:kern w:val="0"/>
          <w:position w:val="2"/>
          <w:sz w:val="26"/>
          <w:szCs w:val="26"/>
          <w:highlight w:val="none"/>
        </w:rPr>
        <w:t xml:space="preserve"> 月 </w:t>
      </w:r>
      <w:r>
        <w:rPr>
          <w:rFonts w:hint="eastAsia" w:ascii="仿宋_GB2312" w:hAnsi="仿宋_GB2312" w:eastAsia="仿宋_GB2312" w:cs="仿宋_GB2312"/>
          <w:b/>
          <w:bCs/>
          <w:snapToGrid w:val="0"/>
          <w:color w:val="auto"/>
          <w:spacing w:val="0"/>
          <w:kern w:val="0"/>
          <w:position w:val="2"/>
          <w:sz w:val="26"/>
          <w:szCs w:val="26"/>
          <w:highlight w:val="none"/>
          <w:lang w:val="en-US" w:eastAsia="zh-CN"/>
        </w:rPr>
        <w:t xml:space="preserve"> </w:t>
      </w:r>
      <w:r>
        <w:rPr>
          <w:rFonts w:hint="eastAsia" w:ascii="仿宋_GB2312" w:hAnsi="仿宋_GB2312" w:eastAsia="仿宋_GB2312" w:cs="仿宋_GB2312"/>
          <w:b/>
          <w:bCs/>
          <w:snapToGrid w:val="0"/>
          <w:color w:val="auto"/>
          <w:spacing w:val="0"/>
          <w:kern w:val="0"/>
          <w:position w:val="2"/>
          <w:sz w:val="26"/>
          <w:szCs w:val="26"/>
          <w:highlight w:val="none"/>
        </w:rPr>
        <w:t>日</w:t>
      </w:r>
    </w:p>
    <w:p w14:paraId="5346AB9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spacing w:val="0"/>
          <w:kern w:val="0"/>
          <w:szCs w:val="21"/>
          <w:highlight w:val="none"/>
        </w:rPr>
      </w:pPr>
    </w:p>
    <w:p w14:paraId="1F7ADF42">
      <w:pPr>
        <w:widowControl/>
        <w:kinsoku w:val="0"/>
        <w:autoSpaceDE w:val="0"/>
        <w:autoSpaceDN w:val="0"/>
        <w:adjustRightInd w:val="0"/>
        <w:snapToGrid w:val="0"/>
        <w:spacing w:line="209" w:lineRule="exact"/>
        <w:jc w:val="left"/>
        <w:textAlignment w:val="baseline"/>
        <w:rPr>
          <w:rFonts w:ascii="Arial" w:hAnsi="Arial" w:eastAsia="Arial" w:cs="Arial"/>
          <w:snapToGrid w:val="0"/>
          <w:color w:val="auto"/>
          <w:kern w:val="0"/>
          <w:szCs w:val="21"/>
          <w:highlight w:val="none"/>
        </w:rPr>
      </w:pPr>
    </w:p>
    <w:tbl>
      <w:tblPr>
        <w:tblStyle w:val="7"/>
        <w:tblW w:w="8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0"/>
        <w:gridCol w:w="3720"/>
        <w:gridCol w:w="1995"/>
      </w:tblGrid>
      <w:tr w14:paraId="77576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860" w:type="dxa"/>
            <w:vAlign w:val="top"/>
          </w:tcPr>
          <w:p w14:paraId="3990C5C6">
            <w:pPr>
              <w:widowControl/>
              <w:kinsoku w:val="0"/>
              <w:autoSpaceDE w:val="0"/>
              <w:autoSpaceDN w:val="0"/>
              <w:adjustRightInd w:val="0"/>
              <w:snapToGrid w:val="0"/>
              <w:spacing w:before="262" w:line="219" w:lineRule="auto"/>
              <w:jc w:val="center"/>
              <w:textAlignment w:val="baseline"/>
              <w:rPr>
                <w:rFonts w:hint="eastAsia" w:ascii="黑体" w:hAnsi="黑体" w:eastAsia="黑体" w:cs="黑体"/>
                <w:b w:val="0"/>
                <w:bCs w:val="0"/>
                <w:snapToGrid w:val="0"/>
                <w:color w:val="auto"/>
                <w:kern w:val="0"/>
                <w:sz w:val="28"/>
                <w:szCs w:val="28"/>
                <w:highlight w:val="none"/>
              </w:rPr>
            </w:pPr>
            <w:r>
              <w:rPr>
                <w:rFonts w:hint="eastAsia" w:ascii="黑体" w:hAnsi="黑体" w:eastAsia="黑体" w:cs="黑体"/>
                <w:b w:val="0"/>
                <w:bCs w:val="0"/>
                <w:snapToGrid w:val="0"/>
                <w:color w:val="auto"/>
                <w:spacing w:val="4"/>
                <w:kern w:val="0"/>
                <w:sz w:val="28"/>
                <w:szCs w:val="28"/>
                <w:highlight w:val="none"/>
              </w:rPr>
              <w:t>申请加成项目</w:t>
            </w:r>
          </w:p>
        </w:tc>
        <w:tc>
          <w:tcPr>
            <w:tcW w:w="3720" w:type="dxa"/>
            <w:vAlign w:val="top"/>
          </w:tcPr>
          <w:p w14:paraId="11218489">
            <w:pPr>
              <w:widowControl/>
              <w:kinsoku w:val="0"/>
              <w:autoSpaceDE w:val="0"/>
              <w:autoSpaceDN w:val="0"/>
              <w:adjustRightInd w:val="0"/>
              <w:snapToGrid w:val="0"/>
              <w:spacing w:before="264" w:line="219" w:lineRule="auto"/>
              <w:jc w:val="center"/>
              <w:textAlignment w:val="baseline"/>
              <w:rPr>
                <w:rFonts w:hint="eastAsia" w:ascii="黑体" w:hAnsi="黑体" w:eastAsia="黑体" w:cs="黑体"/>
                <w:b w:val="0"/>
                <w:bCs w:val="0"/>
                <w:snapToGrid w:val="0"/>
                <w:color w:val="auto"/>
                <w:kern w:val="0"/>
                <w:sz w:val="28"/>
                <w:szCs w:val="28"/>
                <w:highlight w:val="none"/>
              </w:rPr>
            </w:pPr>
            <w:r>
              <w:rPr>
                <w:rFonts w:hint="eastAsia" w:ascii="黑体" w:hAnsi="黑体" w:eastAsia="黑体" w:cs="黑体"/>
                <w:b w:val="0"/>
                <w:bCs w:val="0"/>
                <w:snapToGrid w:val="0"/>
                <w:color w:val="auto"/>
                <w:spacing w:val="1"/>
                <w:kern w:val="0"/>
                <w:sz w:val="28"/>
                <w:szCs w:val="28"/>
                <w:highlight w:val="none"/>
              </w:rPr>
              <w:t>有关加成依据清单</w:t>
            </w:r>
          </w:p>
        </w:tc>
        <w:tc>
          <w:tcPr>
            <w:tcW w:w="1995" w:type="dxa"/>
            <w:vAlign w:val="top"/>
          </w:tcPr>
          <w:p w14:paraId="39BF4B05">
            <w:pPr>
              <w:widowControl/>
              <w:kinsoku w:val="0"/>
              <w:autoSpaceDE w:val="0"/>
              <w:autoSpaceDN w:val="0"/>
              <w:adjustRightInd w:val="0"/>
              <w:snapToGrid w:val="0"/>
              <w:spacing w:before="266" w:line="219" w:lineRule="auto"/>
              <w:jc w:val="center"/>
              <w:textAlignment w:val="baseline"/>
              <w:rPr>
                <w:rFonts w:hint="eastAsia" w:ascii="黑体" w:hAnsi="黑体" w:eastAsia="黑体" w:cs="黑体"/>
                <w:b w:val="0"/>
                <w:bCs w:val="0"/>
                <w:snapToGrid w:val="0"/>
                <w:color w:val="auto"/>
                <w:kern w:val="0"/>
                <w:sz w:val="28"/>
                <w:szCs w:val="28"/>
                <w:highlight w:val="none"/>
              </w:rPr>
            </w:pPr>
            <w:r>
              <w:rPr>
                <w:rFonts w:hint="eastAsia" w:ascii="黑体" w:hAnsi="黑体" w:eastAsia="黑体" w:cs="黑体"/>
                <w:b w:val="0"/>
                <w:bCs w:val="0"/>
                <w:snapToGrid w:val="0"/>
                <w:color w:val="auto"/>
                <w:spacing w:val="1"/>
                <w:kern w:val="0"/>
                <w:sz w:val="28"/>
                <w:szCs w:val="28"/>
                <w:highlight w:val="none"/>
              </w:rPr>
              <w:t>自评加成系数</w:t>
            </w:r>
          </w:p>
        </w:tc>
      </w:tr>
      <w:tr w14:paraId="7597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2860" w:type="dxa"/>
            <w:vAlign w:val="top"/>
          </w:tcPr>
          <w:p w14:paraId="341D36C1">
            <w:pPr>
              <w:widowControl/>
              <w:kinsoku w:val="0"/>
              <w:autoSpaceDE w:val="0"/>
              <w:autoSpaceDN w:val="0"/>
              <w:adjustRightInd w:val="0"/>
              <w:snapToGrid w:val="0"/>
              <w:spacing w:line="476" w:lineRule="auto"/>
              <w:jc w:val="left"/>
              <w:textAlignment w:val="baseline"/>
              <w:rPr>
                <w:rFonts w:hint="eastAsia" w:ascii="仿宋_GB2312" w:hAnsi="仿宋_GB2312" w:eastAsia="仿宋_GB2312" w:cs="仿宋_GB2312"/>
                <w:snapToGrid w:val="0"/>
                <w:color w:val="auto"/>
                <w:kern w:val="0"/>
                <w:sz w:val="32"/>
                <w:szCs w:val="32"/>
                <w:highlight w:val="none"/>
              </w:rPr>
            </w:pPr>
          </w:p>
          <w:p w14:paraId="5D5C39D1">
            <w:pPr>
              <w:widowControl/>
              <w:kinsoku w:val="0"/>
              <w:autoSpaceDE w:val="0"/>
              <w:autoSpaceDN w:val="0"/>
              <w:adjustRightInd w:val="0"/>
              <w:snapToGrid w:val="0"/>
              <w:spacing w:before="91" w:line="219" w:lineRule="auto"/>
              <w:ind w:left="45"/>
              <w:jc w:val="left"/>
              <w:textAlignment w:val="baseline"/>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spacing w:val="2"/>
                <w:kern w:val="0"/>
                <w:sz w:val="32"/>
                <w:szCs w:val="32"/>
                <w:highlight w:val="none"/>
              </w:rPr>
              <w:t>重点专科</w:t>
            </w:r>
          </w:p>
        </w:tc>
        <w:tc>
          <w:tcPr>
            <w:tcW w:w="3720" w:type="dxa"/>
            <w:vAlign w:val="top"/>
          </w:tcPr>
          <w:p w14:paraId="31BB38D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995" w:type="dxa"/>
            <w:vAlign w:val="top"/>
          </w:tcPr>
          <w:p w14:paraId="24DC5F1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435FB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2860" w:type="dxa"/>
            <w:vAlign w:val="top"/>
          </w:tcPr>
          <w:p w14:paraId="77FE2246">
            <w:pPr>
              <w:widowControl/>
              <w:kinsoku w:val="0"/>
              <w:autoSpaceDE w:val="0"/>
              <w:autoSpaceDN w:val="0"/>
              <w:adjustRightInd w:val="0"/>
              <w:snapToGrid w:val="0"/>
              <w:spacing w:line="461" w:lineRule="auto"/>
              <w:jc w:val="left"/>
              <w:textAlignment w:val="baseline"/>
              <w:rPr>
                <w:rFonts w:hint="eastAsia" w:ascii="仿宋_GB2312" w:hAnsi="仿宋_GB2312" w:eastAsia="仿宋_GB2312" w:cs="仿宋_GB2312"/>
                <w:snapToGrid w:val="0"/>
                <w:color w:val="auto"/>
                <w:kern w:val="0"/>
                <w:sz w:val="32"/>
                <w:szCs w:val="32"/>
                <w:highlight w:val="none"/>
              </w:rPr>
            </w:pPr>
          </w:p>
          <w:p w14:paraId="077C2DA1">
            <w:pPr>
              <w:widowControl/>
              <w:kinsoku w:val="0"/>
              <w:autoSpaceDE w:val="0"/>
              <w:autoSpaceDN w:val="0"/>
              <w:adjustRightInd w:val="0"/>
              <w:snapToGrid w:val="0"/>
              <w:spacing w:before="91" w:line="220" w:lineRule="auto"/>
              <w:ind w:left="45"/>
              <w:jc w:val="left"/>
              <w:textAlignment w:val="baseline"/>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spacing w:val="3"/>
                <w:kern w:val="0"/>
                <w:sz w:val="32"/>
                <w:szCs w:val="32"/>
                <w:highlight w:val="none"/>
              </w:rPr>
              <w:t>区域诊疗中心</w:t>
            </w:r>
          </w:p>
        </w:tc>
        <w:tc>
          <w:tcPr>
            <w:tcW w:w="3720" w:type="dxa"/>
            <w:vAlign w:val="top"/>
          </w:tcPr>
          <w:p w14:paraId="445176F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995" w:type="dxa"/>
            <w:vAlign w:val="top"/>
          </w:tcPr>
          <w:p w14:paraId="10DE6BA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07F5D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2860" w:type="dxa"/>
            <w:vAlign w:val="top"/>
          </w:tcPr>
          <w:p w14:paraId="5EAC190A">
            <w:pPr>
              <w:widowControl/>
              <w:kinsoku w:val="0"/>
              <w:autoSpaceDE w:val="0"/>
              <w:autoSpaceDN w:val="0"/>
              <w:adjustRightInd w:val="0"/>
              <w:snapToGrid w:val="0"/>
              <w:spacing w:line="274" w:lineRule="auto"/>
              <w:jc w:val="left"/>
              <w:textAlignment w:val="baseline"/>
              <w:rPr>
                <w:rFonts w:hint="eastAsia" w:ascii="仿宋_GB2312" w:hAnsi="仿宋_GB2312" w:eastAsia="仿宋_GB2312" w:cs="仿宋_GB2312"/>
                <w:snapToGrid w:val="0"/>
                <w:color w:val="auto"/>
                <w:kern w:val="0"/>
                <w:sz w:val="32"/>
                <w:szCs w:val="32"/>
                <w:highlight w:val="none"/>
              </w:rPr>
            </w:pPr>
          </w:p>
          <w:p w14:paraId="1E8D68BC">
            <w:pPr>
              <w:widowControl/>
              <w:kinsoku w:val="0"/>
              <w:autoSpaceDE w:val="0"/>
              <w:autoSpaceDN w:val="0"/>
              <w:adjustRightInd w:val="0"/>
              <w:snapToGrid w:val="0"/>
              <w:spacing w:line="275" w:lineRule="auto"/>
              <w:jc w:val="left"/>
              <w:textAlignment w:val="baseline"/>
              <w:rPr>
                <w:rFonts w:hint="eastAsia" w:ascii="仿宋_GB2312" w:hAnsi="仿宋_GB2312" w:eastAsia="仿宋_GB2312" w:cs="仿宋_GB2312"/>
                <w:snapToGrid w:val="0"/>
                <w:color w:val="auto"/>
                <w:kern w:val="0"/>
                <w:sz w:val="32"/>
                <w:szCs w:val="32"/>
                <w:highlight w:val="none"/>
              </w:rPr>
            </w:pPr>
          </w:p>
          <w:p w14:paraId="1A917328">
            <w:pPr>
              <w:widowControl/>
              <w:kinsoku w:val="0"/>
              <w:autoSpaceDE w:val="0"/>
              <w:autoSpaceDN w:val="0"/>
              <w:adjustRightInd w:val="0"/>
              <w:snapToGrid w:val="0"/>
              <w:spacing w:before="91" w:line="219" w:lineRule="auto"/>
              <w:ind w:left="45"/>
              <w:jc w:val="left"/>
              <w:textAlignment w:val="baseline"/>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spacing w:val="1"/>
                <w:kern w:val="0"/>
                <w:sz w:val="32"/>
                <w:szCs w:val="32"/>
                <w:highlight w:val="none"/>
              </w:rPr>
              <w:t>医疗技术牵头单位</w:t>
            </w:r>
          </w:p>
        </w:tc>
        <w:tc>
          <w:tcPr>
            <w:tcW w:w="3720" w:type="dxa"/>
            <w:vAlign w:val="top"/>
          </w:tcPr>
          <w:p w14:paraId="28CFA14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995" w:type="dxa"/>
            <w:vAlign w:val="top"/>
          </w:tcPr>
          <w:p w14:paraId="0DB49EA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11DEA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2860" w:type="dxa"/>
            <w:vAlign w:val="top"/>
          </w:tcPr>
          <w:p w14:paraId="7D66EF9A">
            <w:pPr>
              <w:widowControl/>
              <w:kinsoku w:val="0"/>
              <w:autoSpaceDE w:val="0"/>
              <w:autoSpaceDN w:val="0"/>
              <w:adjustRightInd w:val="0"/>
              <w:snapToGrid w:val="0"/>
              <w:spacing w:line="260" w:lineRule="auto"/>
              <w:jc w:val="left"/>
              <w:textAlignment w:val="baseline"/>
              <w:rPr>
                <w:rFonts w:hint="eastAsia" w:ascii="仿宋_GB2312" w:hAnsi="仿宋_GB2312" w:eastAsia="仿宋_GB2312" w:cs="仿宋_GB2312"/>
                <w:snapToGrid w:val="0"/>
                <w:color w:val="auto"/>
                <w:kern w:val="0"/>
                <w:sz w:val="32"/>
                <w:szCs w:val="32"/>
                <w:highlight w:val="none"/>
              </w:rPr>
            </w:pPr>
          </w:p>
          <w:p w14:paraId="55D3F13E">
            <w:pPr>
              <w:widowControl/>
              <w:kinsoku w:val="0"/>
              <w:autoSpaceDE w:val="0"/>
              <w:autoSpaceDN w:val="0"/>
              <w:adjustRightInd w:val="0"/>
              <w:snapToGrid w:val="0"/>
              <w:spacing w:line="261" w:lineRule="auto"/>
              <w:jc w:val="left"/>
              <w:textAlignment w:val="baseline"/>
              <w:rPr>
                <w:rFonts w:hint="eastAsia" w:ascii="仿宋_GB2312" w:hAnsi="仿宋_GB2312" w:eastAsia="仿宋_GB2312" w:cs="仿宋_GB2312"/>
                <w:snapToGrid w:val="0"/>
                <w:color w:val="auto"/>
                <w:kern w:val="0"/>
                <w:sz w:val="32"/>
                <w:szCs w:val="32"/>
                <w:highlight w:val="none"/>
              </w:rPr>
            </w:pPr>
          </w:p>
          <w:p w14:paraId="035B2438">
            <w:pPr>
              <w:widowControl/>
              <w:kinsoku w:val="0"/>
              <w:autoSpaceDE w:val="0"/>
              <w:autoSpaceDN w:val="0"/>
              <w:adjustRightInd w:val="0"/>
              <w:snapToGrid w:val="0"/>
              <w:spacing w:before="91" w:line="219" w:lineRule="auto"/>
              <w:ind w:left="45"/>
              <w:jc w:val="left"/>
              <w:textAlignment w:val="baseline"/>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spacing w:val="13"/>
                <w:kern w:val="0"/>
                <w:sz w:val="32"/>
                <w:szCs w:val="32"/>
                <w:highlight w:val="none"/>
              </w:rPr>
              <w:t>科研项目</w:t>
            </w:r>
          </w:p>
        </w:tc>
        <w:tc>
          <w:tcPr>
            <w:tcW w:w="3720" w:type="dxa"/>
            <w:vAlign w:val="top"/>
          </w:tcPr>
          <w:p w14:paraId="7ACA4D8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995" w:type="dxa"/>
            <w:vAlign w:val="top"/>
          </w:tcPr>
          <w:p w14:paraId="7D7299D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26306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2860" w:type="dxa"/>
            <w:vAlign w:val="top"/>
          </w:tcPr>
          <w:p w14:paraId="38648BD7">
            <w:pPr>
              <w:widowControl/>
              <w:kinsoku w:val="0"/>
              <w:autoSpaceDE w:val="0"/>
              <w:autoSpaceDN w:val="0"/>
              <w:adjustRightInd w:val="0"/>
              <w:snapToGrid w:val="0"/>
              <w:spacing w:line="256" w:lineRule="auto"/>
              <w:jc w:val="left"/>
              <w:textAlignment w:val="baseline"/>
              <w:rPr>
                <w:rFonts w:hint="eastAsia" w:ascii="仿宋_GB2312" w:hAnsi="仿宋_GB2312" w:eastAsia="仿宋_GB2312" w:cs="仿宋_GB2312"/>
                <w:snapToGrid w:val="0"/>
                <w:color w:val="auto"/>
                <w:kern w:val="0"/>
                <w:sz w:val="32"/>
                <w:szCs w:val="32"/>
                <w:highlight w:val="none"/>
              </w:rPr>
            </w:pPr>
          </w:p>
          <w:p w14:paraId="468ED1C4">
            <w:pPr>
              <w:widowControl/>
              <w:kinsoku w:val="0"/>
              <w:autoSpaceDE w:val="0"/>
              <w:autoSpaceDN w:val="0"/>
              <w:adjustRightInd w:val="0"/>
              <w:snapToGrid w:val="0"/>
              <w:spacing w:line="257" w:lineRule="auto"/>
              <w:jc w:val="left"/>
              <w:textAlignment w:val="baseline"/>
              <w:rPr>
                <w:rFonts w:hint="eastAsia" w:ascii="仿宋_GB2312" w:hAnsi="仿宋_GB2312" w:eastAsia="仿宋_GB2312" w:cs="仿宋_GB2312"/>
                <w:snapToGrid w:val="0"/>
                <w:color w:val="auto"/>
                <w:kern w:val="0"/>
                <w:sz w:val="32"/>
                <w:szCs w:val="32"/>
                <w:highlight w:val="none"/>
              </w:rPr>
            </w:pPr>
          </w:p>
          <w:p w14:paraId="77B4C785">
            <w:pPr>
              <w:widowControl/>
              <w:kinsoku w:val="0"/>
              <w:autoSpaceDE w:val="0"/>
              <w:autoSpaceDN w:val="0"/>
              <w:adjustRightInd w:val="0"/>
              <w:snapToGrid w:val="0"/>
              <w:spacing w:before="91" w:line="219" w:lineRule="auto"/>
              <w:ind w:left="45"/>
              <w:jc w:val="left"/>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spacing w:val="2"/>
                <w:kern w:val="0"/>
                <w:sz w:val="32"/>
                <w:szCs w:val="32"/>
                <w:highlight w:val="none"/>
                <w:lang w:val="en-US" w:eastAsia="zh-CN"/>
              </w:rPr>
              <w:t>科技进步奖</w:t>
            </w:r>
          </w:p>
        </w:tc>
        <w:tc>
          <w:tcPr>
            <w:tcW w:w="3720" w:type="dxa"/>
            <w:vAlign w:val="top"/>
          </w:tcPr>
          <w:p w14:paraId="450E1E2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995" w:type="dxa"/>
            <w:vAlign w:val="top"/>
          </w:tcPr>
          <w:p w14:paraId="1298BE0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r w14:paraId="70CA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2860" w:type="dxa"/>
            <w:vAlign w:val="top"/>
          </w:tcPr>
          <w:p w14:paraId="78DC2CE0">
            <w:pPr>
              <w:widowControl/>
              <w:kinsoku w:val="0"/>
              <w:autoSpaceDE w:val="0"/>
              <w:autoSpaceDN w:val="0"/>
              <w:adjustRightInd w:val="0"/>
              <w:snapToGrid w:val="0"/>
              <w:spacing w:before="91" w:line="219" w:lineRule="auto"/>
              <w:ind w:left="45"/>
              <w:jc w:val="left"/>
              <w:textAlignment w:val="baseline"/>
              <w:rPr>
                <w:rFonts w:hint="eastAsia" w:ascii="仿宋_GB2312" w:hAnsi="仿宋_GB2312" w:eastAsia="仿宋_GB2312" w:cs="仿宋_GB2312"/>
                <w:i w:val="0"/>
                <w:iCs w:val="0"/>
                <w:color w:val="auto"/>
                <w:sz w:val="32"/>
                <w:szCs w:val="32"/>
                <w:highlight w:val="none"/>
                <w:u w:val="none"/>
                <w:lang w:val="en-US" w:eastAsia="zh-CN"/>
              </w:rPr>
            </w:pPr>
          </w:p>
          <w:p w14:paraId="7B1863E7">
            <w:pPr>
              <w:widowControl/>
              <w:kinsoku w:val="0"/>
              <w:autoSpaceDE w:val="0"/>
              <w:autoSpaceDN w:val="0"/>
              <w:adjustRightInd w:val="0"/>
              <w:snapToGrid w:val="0"/>
              <w:spacing w:before="91" w:line="219" w:lineRule="auto"/>
              <w:ind w:left="45"/>
              <w:jc w:val="left"/>
              <w:textAlignment w:val="baseline"/>
              <w:rPr>
                <w:rFonts w:hint="eastAsia" w:ascii="仿宋_GB2312" w:hAnsi="仿宋_GB2312" w:eastAsia="仿宋_GB2312" w:cs="仿宋_GB2312"/>
                <w:snapToGrid w:val="0"/>
                <w:color w:val="auto"/>
                <w:spacing w:val="2"/>
                <w:kern w:val="0"/>
                <w:sz w:val="32"/>
                <w:szCs w:val="32"/>
                <w:highlight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省医疗机构医药服务评价应用</w:t>
            </w:r>
          </w:p>
        </w:tc>
        <w:tc>
          <w:tcPr>
            <w:tcW w:w="3720" w:type="dxa"/>
            <w:vAlign w:val="top"/>
          </w:tcPr>
          <w:p w14:paraId="3FF7791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1995" w:type="dxa"/>
            <w:vAlign w:val="top"/>
          </w:tcPr>
          <w:p w14:paraId="343BD6D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r>
    </w:tbl>
    <w:p w14:paraId="771B85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p w14:paraId="496101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highlight w:val="none"/>
        </w:rPr>
      </w:pPr>
    </w:p>
    <w:sectPr>
      <w:pgSz w:w="11906" w:h="16838"/>
      <w:pgMar w:top="1440" w:right="1633" w:bottom="1440" w:left="1633" w:header="851" w:footer="992" w:gutter="0"/>
      <w:pgNumType w:fmt="numberInDash"/>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2B8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5BA9E">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05BA9E">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DgyMjI2YTA1OWE2NjJkODQwMGZiNGFjZTA0NDkifQ=="/>
  </w:docVars>
  <w:rsids>
    <w:rsidRoot w:val="2F1631F7"/>
    <w:rsid w:val="00C441D3"/>
    <w:rsid w:val="011E3CE2"/>
    <w:rsid w:val="013C6B15"/>
    <w:rsid w:val="02873BB9"/>
    <w:rsid w:val="05FA676B"/>
    <w:rsid w:val="064E48E4"/>
    <w:rsid w:val="06C74698"/>
    <w:rsid w:val="07CA436E"/>
    <w:rsid w:val="07EB1212"/>
    <w:rsid w:val="085148AB"/>
    <w:rsid w:val="0A8865DB"/>
    <w:rsid w:val="0D375B3C"/>
    <w:rsid w:val="0D646D70"/>
    <w:rsid w:val="0D8942C1"/>
    <w:rsid w:val="0E937FD9"/>
    <w:rsid w:val="0FA30EE1"/>
    <w:rsid w:val="0FE20680"/>
    <w:rsid w:val="0FFF56D6"/>
    <w:rsid w:val="10095D14"/>
    <w:rsid w:val="10967DE9"/>
    <w:rsid w:val="11131E66"/>
    <w:rsid w:val="113413B0"/>
    <w:rsid w:val="114535BD"/>
    <w:rsid w:val="11AF1AE1"/>
    <w:rsid w:val="1440773F"/>
    <w:rsid w:val="15597D95"/>
    <w:rsid w:val="16CA07EC"/>
    <w:rsid w:val="186E51A7"/>
    <w:rsid w:val="1891441F"/>
    <w:rsid w:val="18A02080"/>
    <w:rsid w:val="18DF60A5"/>
    <w:rsid w:val="18EA3115"/>
    <w:rsid w:val="1AD90F14"/>
    <w:rsid w:val="1B39480F"/>
    <w:rsid w:val="1B803B6F"/>
    <w:rsid w:val="1C2F6084"/>
    <w:rsid w:val="20623E36"/>
    <w:rsid w:val="20967991"/>
    <w:rsid w:val="20B758B9"/>
    <w:rsid w:val="20DD577C"/>
    <w:rsid w:val="220C43A1"/>
    <w:rsid w:val="24B73BCA"/>
    <w:rsid w:val="24B93958"/>
    <w:rsid w:val="250E110E"/>
    <w:rsid w:val="25E76599"/>
    <w:rsid w:val="265A67F9"/>
    <w:rsid w:val="266F49AC"/>
    <w:rsid w:val="268E1D8D"/>
    <w:rsid w:val="277E52D7"/>
    <w:rsid w:val="27A72484"/>
    <w:rsid w:val="289220C7"/>
    <w:rsid w:val="28E44456"/>
    <w:rsid w:val="299C1A64"/>
    <w:rsid w:val="2AB4611E"/>
    <w:rsid w:val="2B597F39"/>
    <w:rsid w:val="2B6F35EB"/>
    <w:rsid w:val="2C1F1C5F"/>
    <w:rsid w:val="2C9875B8"/>
    <w:rsid w:val="2D207359"/>
    <w:rsid w:val="2D6F419E"/>
    <w:rsid w:val="2DB94C12"/>
    <w:rsid w:val="2E38002D"/>
    <w:rsid w:val="2F1631F7"/>
    <w:rsid w:val="3190756B"/>
    <w:rsid w:val="32EE540A"/>
    <w:rsid w:val="32FB4EF1"/>
    <w:rsid w:val="33D740F0"/>
    <w:rsid w:val="349B13AB"/>
    <w:rsid w:val="349D489F"/>
    <w:rsid w:val="34FC1D61"/>
    <w:rsid w:val="35160B77"/>
    <w:rsid w:val="35F3711D"/>
    <w:rsid w:val="36256561"/>
    <w:rsid w:val="36737C9D"/>
    <w:rsid w:val="36BD3CEB"/>
    <w:rsid w:val="36DA1F2E"/>
    <w:rsid w:val="38797840"/>
    <w:rsid w:val="39B82AB1"/>
    <w:rsid w:val="39C037CE"/>
    <w:rsid w:val="3AE255E6"/>
    <w:rsid w:val="3C2965D1"/>
    <w:rsid w:val="3D5F3CEE"/>
    <w:rsid w:val="3E603D77"/>
    <w:rsid w:val="3FB41B8F"/>
    <w:rsid w:val="40653611"/>
    <w:rsid w:val="40816D21"/>
    <w:rsid w:val="408D1798"/>
    <w:rsid w:val="40CB1B63"/>
    <w:rsid w:val="40EE3E95"/>
    <w:rsid w:val="424D0800"/>
    <w:rsid w:val="49C152E2"/>
    <w:rsid w:val="49CB1BAA"/>
    <w:rsid w:val="49DF60B7"/>
    <w:rsid w:val="4A18529C"/>
    <w:rsid w:val="4B863D6D"/>
    <w:rsid w:val="4C3B3EBB"/>
    <w:rsid w:val="4EF41AAC"/>
    <w:rsid w:val="4EF73D38"/>
    <w:rsid w:val="4EF75263"/>
    <w:rsid w:val="4FFE4E45"/>
    <w:rsid w:val="50933534"/>
    <w:rsid w:val="50964618"/>
    <w:rsid w:val="513C6E37"/>
    <w:rsid w:val="51E732EF"/>
    <w:rsid w:val="540E28F4"/>
    <w:rsid w:val="543A0058"/>
    <w:rsid w:val="55D16F64"/>
    <w:rsid w:val="56BE7FDF"/>
    <w:rsid w:val="593E34F6"/>
    <w:rsid w:val="5C8609A5"/>
    <w:rsid w:val="5C8A56BD"/>
    <w:rsid w:val="5DA12EF6"/>
    <w:rsid w:val="5F482B3B"/>
    <w:rsid w:val="5F9E544B"/>
    <w:rsid w:val="63AB62E3"/>
    <w:rsid w:val="63C7418A"/>
    <w:rsid w:val="659375C8"/>
    <w:rsid w:val="681770D1"/>
    <w:rsid w:val="6B3E659D"/>
    <w:rsid w:val="6C4F6E68"/>
    <w:rsid w:val="6C6121CE"/>
    <w:rsid w:val="6E310C56"/>
    <w:rsid w:val="6E95615F"/>
    <w:rsid w:val="6FD83DCC"/>
    <w:rsid w:val="72AE1A0E"/>
    <w:rsid w:val="734F3E3C"/>
    <w:rsid w:val="73A11102"/>
    <w:rsid w:val="74890612"/>
    <w:rsid w:val="75697708"/>
    <w:rsid w:val="76704039"/>
    <w:rsid w:val="7679535D"/>
    <w:rsid w:val="76C91303"/>
    <w:rsid w:val="78486009"/>
    <w:rsid w:val="798D4BFB"/>
    <w:rsid w:val="7D237C5A"/>
    <w:rsid w:val="7E3C6FDE"/>
    <w:rsid w:val="7E6B02C8"/>
    <w:rsid w:val="7FF3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31"/>
    <w:basedOn w:val="6"/>
    <w:qFormat/>
    <w:uiPriority w:val="0"/>
    <w:rPr>
      <w:rFonts w:hint="eastAsia" w:ascii="黑体" w:hAnsi="宋体" w:eastAsia="黑体" w:cs="黑体"/>
      <w:color w:val="000000"/>
      <w:sz w:val="28"/>
      <w:szCs w:val="28"/>
      <w:u w:val="none"/>
    </w:rPr>
  </w:style>
  <w:style w:type="character" w:customStyle="1" w:styleId="9">
    <w:name w:val="font41"/>
    <w:basedOn w:val="6"/>
    <w:qFormat/>
    <w:uiPriority w:val="0"/>
    <w:rPr>
      <w:rFonts w:hint="eastAsia" w:ascii="仿宋" w:hAnsi="仿宋" w:eastAsia="仿宋" w:cs="仿宋"/>
      <w:color w:val="000000"/>
      <w:sz w:val="24"/>
      <w:szCs w:val="24"/>
      <w:u w:val="none"/>
    </w:rPr>
  </w:style>
  <w:style w:type="character" w:customStyle="1" w:styleId="10">
    <w:name w:val="font121"/>
    <w:basedOn w:val="6"/>
    <w:qFormat/>
    <w:uiPriority w:val="0"/>
    <w:rPr>
      <w:rFonts w:hint="eastAsia" w:ascii="仿宋" w:hAnsi="仿宋" w:eastAsia="仿宋" w:cs="仿宋"/>
      <w:b/>
      <w:bCs/>
      <w:color w:val="000000"/>
      <w:sz w:val="24"/>
      <w:szCs w:val="24"/>
      <w:u w:val="none"/>
    </w:rPr>
  </w:style>
  <w:style w:type="character" w:customStyle="1" w:styleId="11">
    <w:name w:val="font14"/>
    <w:basedOn w:val="6"/>
    <w:qFormat/>
    <w:uiPriority w:val="0"/>
    <w:rPr>
      <w:rFonts w:hint="eastAsia" w:ascii="仿宋" w:hAnsi="仿宋" w:eastAsia="仿宋" w:cs="仿宋"/>
      <w:color w:val="000000"/>
      <w:sz w:val="22"/>
      <w:szCs w:val="22"/>
      <w:u w:val="none"/>
    </w:rPr>
  </w:style>
  <w:style w:type="character" w:customStyle="1" w:styleId="12">
    <w:name w:val="font131"/>
    <w:basedOn w:val="6"/>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2865</Words>
  <Characters>3172</Characters>
  <Lines>1</Lines>
  <Paragraphs>1</Paragraphs>
  <TotalTime>7</TotalTime>
  <ScaleCrop>false</ScaleCrop>
  <LinksUpToDate>false</LinksUpToDate>
  <CharactersWithSpaces>3208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2024-04-11T09:55:00Z</dcterms:created>
  <dc:creator>瑾</dc:creator>
  <cp:lastModifiedBy>hyxr</cp:lastModifiedBy>
  <cp:lastPrinted>2025-10-29T08:50:00Z</cp:lastPrinted>
  <dcterms:modified xsi:type="dcterms:W3CDTF">2025-11-20T08:23:20Z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02E7068E3B4C41DA9C0A282273253433</vt:lpwstr>
  </property>
  <property fmtid="{D5CDD505-2E9C-101B-9397-08002B2CF9AE}" pid="4" name="KSOTemplateDocerSaveRecord">
    <vt:lpwstr>eyJoZGlkIjoiOTNlYTMzZjhhNTdmYzY0OGRlOTA1MDM4ZDk4Y2I4ZTEiLCJ1c2VySWQiOiI3MTY4NDI1MDEifQ==</vt:lpwstr>
  </property>
</Properties>
</file>