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opLinePunct w:val="0"/>
        <w:adjustRightInd w:val="0"/>
        <w:snapToGrid w:val="0"/>
        <w:spacing w:line="360" w:lineRule="auto"/>
        <w:rPr>
          <w:rFonts w:ascii="Times New Roman" w:hAnsi="Times New Roman"/>
          <w:kern w:val="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：</w:t>
      </w:r>
    </w:p>
    <w:p>
      <w:pPr>
        <w:topLinePunct/>
        <w:spacing w:line="36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z w:val="44"/>
          <w:szCs w:val="44"/>
          <w:lang w:val="en-US" w:eastAsia="zh-CN"/>
        </w:rPr>
        <w:t>农村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>科技特派员</w:t>
      </w:r>
      <w:r>
        <w:rPr>
          <w:rFonts w:hint="eastAsia" w:ascii="Times New Roman" w:hAnsi="Times New Roman"/>
          <w:b/>
          <w:bCs/>
          <w:color w:val="000000"/>
          <w:sz w:val="44"/>
          <w:szCs w:val="44"/>
          <w:lang w:val="en-US" w:eastAsia="zh-CN"/>
        </w:rPr>
        <w:t>技术对接服务情况</w:t>
      </w:r>
      <w:r>
        <w:rPr>
          <w:rFonts w:ascii="Times New Roman" w:hAnsi="Times New Roman"/>
          <w:b/>
          <w:bCs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填报单位：（盖章）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填报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96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44"/>
        <w:gridCol w:w="1037"/>
        <w:gridCol w:w="14"/>
        <w:gridCol w:w="1203"/>
        <w:gridCol w:w="754"/>
        <w:gridCol w:w="1020"/>
        <w:gridCol w:w="709"/>
        <w:gridCol w:w="736"/>
        <w:gridCol w:w="460"/>
        <w:gridCol w:w="243"/>
        <w:gridCol w:w="605"/>
        <w:gridCol w:w="2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接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特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派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员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情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8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/职务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特派员级别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30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技术对接服务情况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对接服务企业（单位）</w:t>
            </w:r>
          </w:p>
        </w:tc>
        <w:tc>
          <w:tcPr>
            <w:tcW w:w="7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81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对接服务内容</w:t>
            </w:r>
          </w:p>
        </w:tc>
        <w:tc>
          <w:tcPr>
            <w:tcW w:w="7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技术培训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技术攻关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创新创业项目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电商服务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其它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1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对接服务项目成效（解决的关键共性技术问题、取得的经济社会效益等）。</w:t>
            </w:r>
          </w:p>
        </w:tc>
        <w:tc>
          <w:tcPr>
            <w:tcW w:w="7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1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何虹</cp:lastModifiedBy>
  <dcterms:modified xsi:type="dcterms:W3CDTF">2020-06-22T09:25:08Z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