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val="0"/>
        <w:snapToGrid w:val="0"/>
        <w:spacing w:before="0" w:after="0" w:line="68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河源市市场监督管理局2021年河源市</w:t>
      </w:r>
    </w:p>
    <w:p>
      <w:pPr>
        <w:pStyle w:val="6"/>
        <w:keepNext w:val="0"/>
        <w:keepLines w:val="0"/>
        <w:pageBreakBefore w:val="0"/>
        <w:widowControl/>
        <w:kinsoku/>
        <w:wordWrap/>
        <w:overflowPunct/>
        <w:topLinePunct w:val="0"/>
        <w:autoSpaceDE/>
        <w:autoSpaceDN/>
        <w:bidi w:val="0"/>
        <w:adjustRightInd w:val="0"/>
        <w:snapToGrid w:val="0"/>
        <w:spacing w:before="0" w:after="0" w:line="68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流通领域车用汽油、柴油商品检验</w:t>
      </w:r>
    </w:p>
    <w:p>
      <w:pPr>
        <w:pStyle w:val="6"/>
        <w:keepNext w:val="0"/>
        <w:keepLines w:val="0"/>
        <w:pageBreakBefore w:val="0"/>
        <w:widowControl/>
        <w:kinsoku/>
        <w:wordWrap/>
        <w:overflowPunct/>
        <w:topLinePunct w:val="0"/>
        <w:autoSpaceDE/>
        <w:autoSpaceDN/>
        <w:bidi w:val="0"/>
        <w:adjustRightInd w:val="0"/>
        <w:snapToGrid w:val="0"/>
        <w:spacing w:before="0" w:after="0" w:line="68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项目实施细则</w:t>
      </w:r>
    </w:p>
    <w:p>
      <w:pPr>
        <w:rPr>
          <w:rFonts w:hint="eastAsia"/>
        </w:rPr>
      </w:pPr>
    </w:p>
    <w:p>
      <w:pPr>
        <w:spacing w:line="59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本细则由</w:t>
      </w:r>
      <w:r>
        <w:rPr>
          <w:rFonts w:hint="eastAsia" w:ascii="仿宋_GB2312" w:hAnsi="仿宋_GB2312" w:eastAsia="仿宋_GB2312" w:cs="仿宋_GB2312"/>
          <w:sz w:val="32"/>
          <w:szCs w:val="32"/>
          <w:lang w:val="en-US" w:eastAsia="zh-CN"/>
        </w:rPr>
        <w:t>河源市</w:t>
      </w:r>
      <w:r>
        <w:rPr>
          <w:rFonts w:hint="eastAsia" w:ascii="仿宋_GB2312" w:hAnsi="仿宋_GB2312" w:eastAsia="仿宋_GB2312" w:cs="仿宋_GB2312"/>
          <w:sz w:val="32"/>
          <w:szCs w:val="32"/>
        </w:rPr>
        <w:t>市场监督管理局制定，适用于河源市市场监督管理局组织的机动车及其相关产品（汽油、柴油）产品质量监督抽查的抽样、检验工作。</w:t>
      </w:r>
    </w:p>
    <w:p>
      <w:pPr>
        <w:keepNext w:val="0"/>
        <w:keepLines w:val="0"/>
        <w:pageBreakBefore w:val="0"/>
        <w:widowControl/>
        <w:kinsoku/>
        <w:wordWrap/>
        <w:overflowPunct/>
        <w:topLinePunct w:val="0"/>
        <w:bidi w:val="0"/>
        <w:spacing w:after="0" w:line="580" w:lineRule="exact"/>
        <w:ind w:firstLine="0" w:firstLineChars="0"/>
        <w:textAlignment w:val="auto"/>
        <w:rPr>
          <w:rFonts w:eastAsia="黑体"/>
          <w:color w:val="000000"/>
          <w:sz w:val="32"/>
          <w:szCs w:val="32"/>
        </w:rPr>
      </w:pPr>
      <w:r>
        <w:rPr>
          <w:rFonts w:hint="eastAsia" w:ascii="Times New Roman" w:hAnsi="Times New Roman" w:eastAsia="黑体" w:cs="黑体"/>
          <w:color w:val="000000"/>
          <w:sz w:val="32"/>
          <w:szCs w:val="32"/>
        </w:rPr>
        <w:t>一、监督抽查的产品</w:t>
      </w:r>
    </w:p>
    <w:p>
      <w:pPr>
        <w:keepNext w:val="0"/>
        <w:keepLines w:val="0"/>
        <w:pageBreakBefore w:val="0"/>
        <w:widowControl/>
        <w:kinsoku/>
        <w:wordWrap/>
        <w:overflowPunct/>
        <w:topLinePunct w:val="0"/>
        <w:bidi w:val="0"/>
        <w:spacing w:after="0" w:line="580" w:lineRule="exact"/>
        <w:ind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（一）抽查产品：汽油、柴油，包括：1.车用汽油、2.车用柴油</w:t>
      </w:r>
    </w:p>
    <w:p>
      <w:pPr>
        <w:pStyle w:val="11"/>
        <w:keepNext w:val="0"/>
        <w:keepLines w:val="0"/>
        <w:pageBreakBefore w:val="0"/>
        <w:widowControl/>
        <w:kinsoku/>
        <w:wordWrap/>
        <w:overflowPunct/>
        <w:topLinePunct w:val="0"/>
        <w:bidi w:val="0"/>
        <w:spacing w:after="0" w:line="580" w:lineRule="exact"/>
        <w:ind w:firstLine="640" w:firstLineChars="200"/>
        <w:textAlignment w:val="auto"/>
        <w:rPr>
          <w:rFonts w:ascii="Times New Roman" w:hAnsi="Times New Roman"/>
          <w:sz w:val="18"/>
          <w:szCs w:val="21"/>
        </w:rPr>
      </w:pPr>
      <w:r>
        <w:rPr>
          <w:rFonts w:hint="eastAsia" w:ascii="仿宋_GB2312" w:hAnsi="仿宋_GB2312" w:eastAsia="仿宋_GB2312" w:cs="仿宋_GB2312"/>
          <w:kern w:val="0"/>
          <w:sz w:val="32"/>
          <w:szCs w:val="32"/>
          <w:lang w:val="en-US" w:eastAsia="zh-CN" w:bidi="ar-SA"/>
        </w:rPr>
        <w:t>（二）监督总体：同一油品经营者（加油站、油库、生产者）的同一型号在售、存储和生产的产品集合</w:t>
      </w:r>
      <w:r>
        <w:rPr>
          <w:rFonts w:hint="eastAsia" w:ascii="Times New Roman" w:hAnsi="Times New Roman" w:eastAsia="仿宋_GB2312" w:cs="仿宋_GB2312"/>
          <w:sz w:val="32"/>
          <w:szCs w:val="32"/>
        </w:rPr>
        <w:t>。</w:t>
      </w:r>
    </w:p>
    <w:p>
      <w:pPr>
        <w:keepNext w:val="0"/>
        <w:keepLines w:val="0"/>
        <w:pageBreakBefore w:val="0"/>
        <w:widowControl/>
        <w:kinsoku/>
        <w:wordWrap/>
        <w:overflowPunct/>
        <w:topLinePunct w:val="0"/>
        <w:bidi w:val="0"/>
        <w:spacing w:after="0" w:line="580" w:lineRule="exact"/>
        <w:ind w:firstLine="0" w:firstLineChars="0"/>
        <w:textAlignment w:val="auto"/>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rPr>
        <w:t>二、抽样、检验程序</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cs="仿宋_GB2312"/>
          <w:szCs w:val="32"/>
        </w:rPr>
      </w:pPr>
      <w:r>
        <w:rPr>
          <w:rFonts w:hint="eastAsia" w:ascii="Times New Roman" w:hAnsi="Times New Roman" w:eastAsia="仿宋_GB2312" w:cs="仿宋_GB2312"/>
          <w:sz w:val="32"/>
          <w:szCs w:val="32"/>
        </w:rPr>
        <w:t>（一）《产品质量监督抽查管理暂行办法》（国家市场监督管理总局令第18号）</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（二）T/GDAQI 020-2020《产品质量监督抽查抽样检验技术服务规范》</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（三）承检机构在抽样检验程序中根据实际情况及检验程序的法定性与有效性予以补充。</w:t>
      </w:r>
    </w:p>
    <w:p>
      <w:pPr>
        <w:keepNext w:val="0"/>
        <w:keepLines w:val="0"/>
        <w:pageBreakBefore w:val="0"/>
        <w:widowControl/>
        <w:kinsoku/>
        <w:wordWrap/>
        <w:overflowPunct/>
        <w:topLinePunct w:val="0"/>
        <w:autoSpaceDE/>
        <w:autoSpaceDN/>
        <w:bidi w:val="0"/>
        <w:adjustRightInd w:val="0"/>
        <w:snapToGrid w:val="0"/>
        <w:spacing w:after="0" w:line="580" w:lineRule="exact"/>
        <w:textAlignment w:val="auto"/>
        <w:rPr>
          <w:rFonts w:eastAsia="黑体" w:cs="黑体"/>
          <w:color w:val="000000"/>
          <w:szCs w:val="32"/>
        </w:rPr>
      </w:pPr>
      <w:r>
        <w:rPr>
          <w:rFonts w:hint="eastAsia" w:ascii="Times New Roman" w:hAnsi="Times New Roman" w:eastAsia="黑体" w:cs="黑体"/>
          <w:color w:val="000000"/>
          <w:sz w:val="32"/>
          <w:szCs w:val="32"/>
        </w:rPr>
        <w:t>三、抽样方案</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（一）抽查数量：每款产品抽取2组样本，第1组用于检验，第2组用于备样。每组样本需抽取样品数量如下表所示：</w:t>
      </w:r>
    </w:p>
    <w:tbl>
      <w:tblPr>
        <w:tblStyle w:val="7"/>
        <w:tblW w:w="8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257"/>
        <w:gridCol w:w="2977"/>
        <w:gridCol w:w="2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1106" w:type="dxa"/>
            <w:vAlign w:val="center"/>
          </w:tcPr>
          <w:p>
            <w:pPr>
              <w:keepNext w:val="0"/>
              <w:keepLines w:val="0"/>
              <w:pageBreakBefore w:val="0"/>
              <w:widowControl/>
              <w:kinsoku/>
              <w:wordWrap/>
              <w:overflowPunct/>
              <w:topLinePunct w:val="0"/>
              <w:autoSpaceDE/>
              <w:autoSpaceDN/>
              <w:bidi w:val="0"/>
              <w:adjustRightInd w:val="0"/>
              <w:snapToGrid w:val="0"/>
              <w:spacing w:after="0" w:line="580" w:lineRule="exact"/>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序号</w:t>
            </w:r>
          </w:p>
        </w:tc>
        <w:tc>
          <w:tcPr>
            <w:tcW w:w="1257" w:type="dxa"/>
            <w:vAlign w:val="center"/>
          </w:tcPr>
          <w:p>
            <w:pPr>
              <w:keepNext w:val="0"/>
              <w:keepLines w:val="0"/>
              <w:pageBreakBefore w:val="0"/>
              <w:widowControl/>
              <w:kinsoku/>
              <w:wordWrap/>
              <w:overflowPunct/>
              <w:topLinePunct w:val="0"/>
              <w:autoSpaceDE/>
              <w:autoSpaceDN/>
              <w:bidi w:val="0"/>
              <w:adjustRightInd w:val="0"/>
              <w:snapToGrid w:val="0"/>
              <w:spacing w:after="0" w:line="580" w:lineRule="exact"/>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产品名称</w:t>
            </w:r>
          </w:p>
        </w:tc>
        <w:tc>
          <w:tcPr>
            <w:tcW w:w="2977" w:type="dxa"/>
            <w:vAlign w:val="center"/>
          </w:tcPr>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第1组数量</w:t>
            </w:r>
          </w:p>
        </w:tc>
        <w:tc>
          <w:tcPr>
            <w:tcW w:w="2872" w:type="dxa"/>
            <w:vAlign w:val="center"/>
          </w:tcPr>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第2组数量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1106" w:type="dxa"/>
            <w:vAlign w:val="center"/>
          </w:tcPr>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p>
        </w:tc>
        <w:tc>
          <w:tcPr>
            <w:tcW w:w="1257" w:type="dxa"/>
            <w:vAlign w:val="center"/>
          </w:tcPr>
          <w:p>
            <w:pPr>
              <w:keepNext w:val="0"/>
              <w:keepLines w:val="0"/>
              <w:pageBreakBefore w:val="0"/>
              <w:widowControl/>
              <w:kinsoku/>
              <w:wordWrap/>
              <w:overflowPunct/>
              <w:topLinePunct w:val="0"/>
              <w:autoSpaceDE/>
              <w:autoSpaceDN/>
              <w:bidi w:val="0"/>
              <w:adjustRightInd w:val="0"/>
              <w:snapToGrid w:val="0"/>
              <w:spacing w:after="0" w:line="580" w:lineRule="exact"/>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车用汽油</w:t>
            </w:r>
          </w:p>
        </w:tc>
        <w:tc>
          <w:tcPr>
            <w:tcW w:w="2977" w:type="dxa"/>
            <w:vAlign w:val="center"/>
          </w:tcPr>
          <w:p>
            <w:pPr>
              <w:keepNext w:val="0"/>
              <w:keepLines w:val="0"/>
              <w:pageBreakBefore w:val="0"/>
              <w:widowControl/>
              <w:kinsoku/>
              <w:wordWrap/>
              <w:overflowPunct/>
              <w:topLinePunct w:val="0"/>
              <w:autoSpaceDE/>
              <w:autoSpaceDN/>
              <w:bidi w:val="0"/>
              <w:adjustRightInd w:val="0"/>
              <w:snapToGrid w:val="0"/>
              <w:spacing w:after="0" w:line="580" w:lineRule="exact"/>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至少1.7L（包含2部分，第一部分至少1L，第二部分至少700mL）</w:t>
            </w:r>
          </w:p>
        </w:tc>
        <w:tc>
          <w:tcPr>
            <w:tcW w:w="2872" w:type="dxa"/>
            <w:vAlign w:val="center"/>
          </w:tcPr>
          <w:p>
            <w:pPr>
              <w:keepNext w:val="0"/>
              <w:keepLines w:val="0"/>
              <w:pageBreakBefore w:val="0"/>
              <w:widowControl/>
              <w:kinsoku/>
              <w:wordWrap/>
              <w:overflowPunct/>
              <w:topLinePunct w:val="0"/>
              <w:autoSpaceDE/>
              <w:autoSpaceDN/>
              <w:bidi w:val="0"/>
              <w:adjustRightInd w:val="0"/>
              <w:snapToGrid w:val="0"/>
              <w:spacing w:after="0" w:line="580" w:lineRule="exact"/>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至少1.7L（包含2部分，第一部分至少1L，第二部分至少700mL）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106" w:type="dxa"/>
            <w:vAlign w:val="center"/>
          </w:tcPr>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w:t>
            </w:r>
          </w:p>
        </w:tc>
        <w:tc>
          <w:tcPr>
            <w:tcW w:w="1257" w:type="dxa"/>
            <w:vAlign w:val="center"/>
          </w:tcPr>
          <w:p>
            <w:pPr>
              <w:keepNext w:val="0"/>
              <w:keepLines w:val="0"/>
              <w:pageBreakBefore w:val="0"/>
              <w:widowControl/>
              <w:kinsoku/>
              <w:wordWrap/>
              <w:overflowPunct/>
              <w:topLinePunct w:val="0"/>
              <w:autoSpaceDE/>
              <w:autoSpaceDN/>
              <w:bidi w:val="0"/>
              <w:adjustRightInd w:val="0"/>
              <w:snapToGrid w:val="0"/>
              <w:spacing w:after="0" w:line="580" w:lineRule="exact"/>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车用柴油</w:t>
            </w:r>
          </w:p>
        </w:tc>
        <w:tc>
          <w:tcPr>
            <w:tcW w:w="2977" w:type="dxa"/>
            <w:vAlign w:val="center"/>
          </w:tcPr>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至少2L</w:t>
            </w:r>
          </w:p>
        </w:tc>
        <w:tc>
          <w:tcPr>
            <w:tcW w:w="2872" w:type="dxa"/>
            <w:vAlign w:val="center"/>
          </w:tcPr>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至少2L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1106" w:type="dxa"/>
            <w:vAlign w:val="center"/>
          </w:tcPr>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w:t>
            </w:r>
          </w:p>
        </w:tc>
        <w:tc>
          <w:tcPr>
            <w:tcW w:w="1257" w:type="dxa"/>
            <w:vAlign w:val="center"/>
          </w:tcPr>
          <w:p>
            <w:pPr>
              <w:keepNext w:val="0"/>
              <w:keepLines w:val="0"/>
              <w:pageBreakBefore w:val="0"/>
              <w:widowControl/>
              <w:kinsoku/>
              <w:wordWrap/>
              <w:overflowPunct/>
              <w:topLinePunct w:val="0"/>
              <w:autoSpaceDE/>
              <w:autoSpaceDN/>
              <w:bidi w:val="0"/>
              <w:adjustRightInd w:val="0"/>
              <w:snapToGrid w:val="0"/>
              <w:spacing w:after="0" w:line="580" w:lineRule="exact"/>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船用燃料油</w:t>
            </w:r>
          </w:p>
        </w:tc>
        <w:tc>
          <w:tcPr>
            <w:tcW w:w="2977" w:type="dxa"/>
            <w:vAlign w:val="center"/>
          </w:tcPr>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至少2L</w:t>
            </w:r>
          </w:p>
        </w:tc>
        <w:tc>
          <w:tcPr>
            <w:tcW w:w="2872" w:type="dxa"/>
            <w:vAlign w:val="center"/>
          </w:tcPr>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至少2L</w:t>
            </w:r>
          </w:p>
        </w:tc>
      </w:tr>
    </w:tbl>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（二）抽样方法。确定被抽样对象应符合T/GDAQI 020-2020《产品质量监督抽查抽样检验技术服务规范》5.3.3.3和第6章抽样的相关要求。</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在生产企业（油库）抽样时，按GB/T 4756-2015《石油液体手工取样法》规定的方法抽取样本；在加油站或燃油供应船舶或燃油供应车辆抽样时，直接在加油机加油枪或加油管出口处（或取样处）随机抽取样本。抽取样本前，通过油枪或油管将至少4L油品放出，清洗加油管，避免加油管污染样品；同时清洗取样罐至少3次。将抽取的样品密封，贴上样品标签，加封封条，全部带回检验机构。</w:t>
      </w:r>
    </w:p>
    <w:p>
      <w:pPr>
        <w:keepNext w:val="0"/>
        <w:keepLines w:val="0"/>
        <w:pageBreakBefore w:val="0"/>
        <w:widowControl/>
        <w:kinsoku/>
        <w:wordWrap/>
        <w:overflowPunct/>
        <w:topLinePunct w:val="0"/>
        <w:autoSpaceDE/>
        <w:autoSpaceDN/>
        <w:bidi w:val="0"/>
        <w:adjustRightInd w:val="0"/>
        <w:snapToGrid w:val="0"/>
        <w:spacing w:after="0" w:line="580" w:lineRule="exact"/>
        <w:textAlignment w:val="auto"/>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rPr>
        <w:t>四、检验依据</w:t>
      </w:r>
    </w:p>
    <w:p>
      <w:pPr>
        <w:keepNext w:val="0"/>
        <w:keepLines w:val="0"/>
        <w:pageBreakBefore w:val="0"/>
        <w:widowControl/>
        <w:kinsoku/>
        <w:wordWrap/>
        <w:overflowPunct/>
        <w:topLinePunct w:val="0"/>
        <w:autoSpaceDE/>
        <w:bidi w:val="0"/>
        <w:adjustRightInd w:val="0"/>
        <w:snapToGrid w:val="0"/>
        <w:spacing w:line="580" w:lineRule="exact"/>
        <w:ind w:firstLine="640" w:firstLineChars="200"/>
        <w:textAlignment w:val="auto"/>
        <w:rPr>
          <w:rFonts w:eastAsia="楷体_GB2312"/>
          <w:szCs w:val="32"/>
        </w:rPr>
      </w:pPr>
      <w:r>
        <w:rPr>
          <w:rFonts w:hint="eastAsia" w:ascii="Times New Roman" w:hAnsi="Times New Roman" w:eastAsia="楷体_GB2312" w:cs="楷体_GB2312"/>
          <w:sz w:val="32"/>
          <w:szCs w:val="32"/>
        </w:rPr>
        <w:t>（一）产品标准。</w:t>
      </w:r>
    </w:p>
    <w:p>
      <w:pPr>
        <w:keepNext w:val="0"/>
        <w:keepLines w:val="0"/>
        <w:pageBreakBefore w:val="0"/>
        <w:widowControl/>
        <w:kinsoku/>
        <w:wordWrap/>
        <w:overflowPunct/>
        <w:topLinePunct w:val="0"/>
        <w:autoSpaceDE/>
        <w:bidi w:val="0"/>
        <w:adjustRightInd w:val="0"/>
        <w:snapToGrid w:val="0"/>
        <w:spacing w:line="580" w:lineRule="exact"/>
        <w:ind w:firstLine="640" w:firstLineChars="200"/>
        <w:textAlignment w:val="auto"/>
        <w:rPr>
          <w:rFonts w:cs="仿宋_GB2312"/>
          <w:szCs w:val="32"/>
        </w:rPr>
      </w:pPr>
      <w:r>
        <w:rPr>
          <w:rFonts w:hint="eastAsia" w:ascii="Times New Roman" w:hAnsi="Times New Roman" w:eastAsia="仿宋_GB2312" w:cs="仿宋_GB2312"/>
          <w:sz w:val="32"/>
          <w:szCs w:val="32"/>
        </w:rPr>
        <w:t>1. 强制性标准:</w:t>
      </w:r>
    </w:p>
    <w:p>
      <w:pPr>
        <w:keepNext w:val="0"/>
        <w:keepLines w:val="0"/>
        <w:pageBreakBefore w:val="0"/>
        <w:widowControl/>
        <w:kinsoku/>
        <w:wordWrap/>
        <w:overflowPunct/>
        <w:topLinePunct w:val="0"/>
        <w:autoSpaceDE/>
        <w:bidi w:val="0"/>
        <w:adjustRightInd w:val="0"/>
        <w:snapToGrid w:val="0"/>
        <w:spacing w:line="580" w:lineRule="exact"/>
        <w:ind w:firstLine="640" w:firstLineChars="200"/>
        <w:textAlignment w:val="auto"/>
        <w:rPr>
          <w:rFonts w:cs="仿宋_GB2312"/>
          <w:szCs w:val="32"/>
        </w:rPr>
      </w:pPr>
      <w:r>
        <w:rPr>
          <w:rFonts w:hint="eastAsia" w:ascii="Times New Roman" w:hAnsi="Times New Roman" w:eastAsia="仿宋_GB2312" w:cs="仿宋_GB2312"/>
          <w:sz w:val="32"/>
          <w:szCs w:val="32"/>
        </w:rPr>
        <w:t>GB 17930-2016《车用汽油》</w:t>
      </w:r>
    </w:p>
    <w:p>
      <w:pPr>
        <w:keepNext w:val="0"/>
        <w:keepLines w:val="0"/>
        <w:pageBreakBefore w:val="0"/>
        <w:widowControl/>
        <w:kinsoku/>
        <w:wordWrap/>
        <w:overflowPunct/>
        <w:topLinePunct w:val="0"/>
        <w:autoSpaceDE/>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GB 19147-2016《车用柴油》</w:t>
      </w:r>
    </w:p>
    <w:p>
      <w:pPr>
        <w:keepNext w:val="0"/>
        <w:keepLines w:val="0"/>
        <w:pageBreakBefore w:val="0"/>
        <w:widowControl/>
        <w:kinsoku/>
        <w:wordWrap/>
        <w:overflowPunct/>
        <w:topLinePunct w:val="0"/>
        <w:autoSpaceDE/>
        <w:bidi w:val="0"/>
        <w:adjustRightInd w:val="0"/>
        <w:snapToGrid w:val="0"/>
        <w:spacing w:line="580" w:lineRule="exact"/>
        <w:ind w:firstLine="640" w:firstLineChars="200"/>
        <w:textAlignment w:val="auto"/>
        <w:rPr>
          <w:rFonts w:cs="仿宋_GB2312"/>
          <w:szCs w:val="32"/>
        </w:rPr>
      </w:pPr>
      <w:r>
        <w:rPr>
          <w:rFonts w:hint="eastAsia" w:ascii="Times New Roman" w:hAnsi="Times New Roman" w:eastAsia="仿宋_GB2312" w:cs="仿宋_GB2312"/>
          <w:sz w:val="32"/>
          <w:szCs w:val="32"/>
        </w:rPr>
        <w:t>2. 推荐性标准:无。</w:t>
      </w:r>
    </w:p>
    <w:p>
      <w:pPr>
        <w:keepNext w:val="0"/>
        <w:keepLines w:val="0"/>
        <w:pageBreakBefore w:val="0"/>
        <w:widowControl/>
        <w:kinsoku/>
        <w:wordWrap/>
        <w:overflowPunct/>
        <w:topLinePunct w:val="0"/>
        <w:autoSpaceDE/>
        <w:autoSpaceDN w:val="0"/>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 w:cs="楷体"/>
          <w:sz w:val="32"/>
          <w:szCs w:val="32"/>
        </w:rPr>
        <w:t>（二）涉及本类产品质量判定相关法律法规、国家有关规定。</w:t>
      </w:r>
      <w:r>
        <w:rPr>
          <w:rFonts w:hint="eastAsia" w:ascii="Times New Roman" w:hAnsi="Times New Roman" w:eastAsia="仿宋_GB2312" w:cs="仿宋_GB2312"/>
          <w:sz w:val="32"/>
          <w:szCs w:val="32"/>
        </w:rPr>
        <w:t>主要包括《中华人民共和国产品质量法》《中华人民共和国消费者权益保护法》《产品质量监督抽查管理暂行办法》《广东省查处生产销售假冒伪劣产品违法行为条例》等法律法规规章及《广东省市场监督管理局产品质量监督抽查工作指导意见（试行）》（粤市监质监〔2019〕494号）。</w:t>
      </w:r>
    </w:p>
    <w:p>
      <w:pPr>
        <w:keepNext w:val="0"/>
        <w:keepLines w:val="0"/>
        <w:pageBreakBefore w:val="0"/>
        <w:widowControl/>
        <w:kinsoku/>
        <w:wordWrap/>
        <w:overflowPunct/>
        <w:topLinePunct w:val="0"/>
        <w:autoSpaceDE/>
        <w:autoSpaceDN/>
        <w:bidi w:val="0"/>
        <w:adjustRightInd w:val="0"/>
        <w:snapToGrid w:val="0"/>
        <w:spacing w:after="0" w:line="580" w:lineRule="exact"/>
        <w:textAlignment w:val="auto"/>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rPr>
        <w:t>五、主要检验项目及不合格类别的划分指标</w:t>
      </w:r>
    </w:p>
    <w:p>
      <w:pPr>
        <w:keepNext w:val="0"/>
        <w:keepLines w:val="0"/>
        <w:pageBreakBefore w:val="0"/>
        <w:widowControl/>
        <w:kinsoku/>
        <w:wordWrap/>
        <w:overflowPunct/>
        <w:topLinePunct w:val="0"/>
        <w:autoSpaceDE/>
        <w:bidi w:val="0"/>
        <w:adjustRightInd w:val="0"/>
        <w:snapToGrid w:val="0"/>
        <w:spacing w:line="580" w:lineRule="exact"/>
        <w:ind w:firstLine="640" w:firstLineChars="200"/>
        <w:textAlignment w:val="auto"/>
        <w:rPr>
          <w:rFonts w:eastAsia="楷体_GB2312"/>
          <w:color w:val="000000"/>
          <w:szCs w:val="32"/>
        </w:rPr>
      </w:pPr>
      <w:r>
        <w:rPr>
          <w:rFonts w:hint="eastAsia" w:ascii="Times New Roman" w:hAnsi="Times New Roman" w:eastAsia="楷体_GB2312" w:cs="楷体_GB2312"/>
          <w:color w:val="000000"/>
          <w:sz w:val="32"/>
          <w:szCs w:val="32"/>
        </w:rPr>
        <w:t>（一）内在质量检验项目及其重要性划分表</w:t>
      </w:r>
      <w:r>
        <w:rPr>
          <w:rFonts w:ascii="Times New Roman" w:hAnsi="Times New Roman" w:eastAsia="楷体_GB2312"/>
          <w:color w:val="000000"/>
          <w:sz w:val="32"/>
          <w:szCs w:val="32"/>
        </w:rPr>
        <w:t xml:space="preserve"> </w:t>
      </w:r>
    </w:p>
    <w:p>
      <w:pPr>
        <w:keepNext w:val="0"/>
        <w:keepLines w:val="0"/>
        <w:pageBreakBefore w:val="0"/>
        <w:widowControl/>
        <w:kinsoku/>
        <w:wordWrap/>
        <w:overflowPunct/>
        <w:topLinePunct w:val="0"/>
        <w:autoSpaceDE/>
        <w:bidi w:val="0"/>
        <w:adjustRightInd w:val="0"/>
        <w:snapToGrid w:val="0"/>
        <w:spacing w:line="580" w:lineRule="exact"/>
        <w:ind w:firstLine="640" w:firstLineChars="200"/>
        <w:textAlignment w:val="auto"/>
        <w:rPr>
          <w:rFonts w:cs="仿宋_GB2312"/>
          <w:szCs w:val="32"/>
        </w:rPr>
      </w:pPr>
      <w:r>
        <w:rPr>
          <w:rFonts w:hint="eastAsia" w:ascii="Times New Roman" w:hAnsi="Times New Roman" w:eastAsia="仿宋_GB2312" w:cs="仿宋_GB2312"/>
          <w:sz w:val="32"/>
          <w:szCs w:val="32"/>
        </w:rPr>
        <w:t>（1）车用汽油</w:t>
      </w:r>
    </w:p>
    <w:tbl>
      <w:tblPr>
        <w:tblStyle w:val="7"/>
        <w:tblW w:w="8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418"/>
        <w:gridCol w:w="2612"/>
        <w:gridCol w:w="708"/>
        <w:gridCol w:w="709"/>
        <w:gridCol w:w="709"/>
        <w:gridCol w:w="709"/>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715"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b/>
                <w:bCs/>
                <w:sz w:val="21"/>
                <w:szCs w:val="21"/>
              </w:rPr>
            </w:pPr>
            <w:r>
              <w:rPr>
                <w:rFonts w:hint="eastAsia" w:ascii="Times New Roman" w:hAnsi="Times New Roman" w:cs="仿宋_GB2312"/>
                <w:b/>
                <w:bCs/>
                <w:sz w:val="21"/>
                <w:szCs w:val="21"/>
              </w:rPr>
              <w:t>序号</w:t>
            </w:r>
          </w:p>
        </w:tc>
        <w:tc>
          <w:tcPr>
            <w:tcW w:w="1418"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b/>
                <w:bCs/>
                <w:sz w:val="21"/>
                <w:szCs w:val="21"/>
              </w:rPr>
            </w:pPr>
            <w:r>
              <w:rPr>
                <w:rFonts w:hint="eastAsia" w:ascii="Times New Roman" w:hAnsi="Times New Roman" w:cs="仿宋_GB2312"/>
                <w:b/>
                <w:bCs/>
                <w:sz w:val="21"/>
                <w:szCs w:val="21"/>
              </w:rPr>
              <w:t>检验项目</w:t>
            </w:r>
          </w:p>
        </w:tc>
        <w:tc>
          <w:tcPr>
            <w:tcW w:w="2612"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b/>
                <w:bCs/>
                <w:sz w:val="21"/>
                <w:szCs w:val="21"/>
              </w:rPr>
            </w:pPr>
            <w:r>
              <w:rPr>
                <w:rFonts w:hint="eastAsia" w:ascii="Times New Roman" w:hAnsi="Times New Roman" w:cs="仿宋_GB2312"/>
                <w:b/>
                <w:bCs/>
                <w:sz w:val="21"/>
                <w:szCs w:val="21"/>
              </w:rPr>
              <w:t>依据法律法规或标准</w:t>
            </w:r>
          </w:p>
        </w:tc>
        <w:tc>
          <w:tcPr>
            <w:tcW w:w="708"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b/>
                <w:bCs/>
                <w:sz w:val="21"/>
                <w:szCs w:val="21"/>
              </w:rPr>
            </w:pPr>
            <w:r>
              <w:rPr>
                <w:rFonts w:hint="eastAsia" w:ascii="Times New Roman" w:hAnsi="Times New Roman" w:cs="仿宋_GB2312"/>
                <w:b/>
                <w:bCs/>
                <w:sz w:val="21"/>
                <w:szCs w:val="21"/>
              </w:rPr>
              <w:t>强制性</w:t>
            </w:r>
          </w:p>
        </w:tc>
        <w:tc>
          <w:tcPr>
            <w:tcW w:w="709"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b/>
                <w:bCs/>
                <w:sz w:val="21"/>
                <w:szCs w:val="21"/>
              </w:rPr>
            </w:pPr>
            <w:r>
              <w:rPr>
                <w:rFonts w:hint="eastAsia" w:ascii="Times New Roman" w:hAnsi="Times New Roman" w:cs="仿宋_GB2312"/>
                <w:b/>
                <w:bCs/>
                <w:sz w:val="21"/>
                <w:szCs w:val="21"/>
              </w:rPr>
              <w:t>非强制性</w:t>
            </w:r>
          </w:p>
        </w:tc>
        <w:tc>
          <w:tcPr>
            <w:tcW w:w="709"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b/>
                <w:bCs/>
                <w:sz w:val="21"/>
                <w:szCs w:val="21"/>
              </w:rPr>
            </w:pPr>
            <w:r>
              <w:rPr>
                <w:rFonts w:hint="eastAsia" w:ascii="Times New Roman" w:hAnsi="Times New Roman" w:cs="仿宋_GB2312"/>
                <w:b/>
                <w:bCs/>
                <w:sz w:val="21"/>
                <w:szCs w:val="21"/>
              </w:rPr>
              <w:t>重要项</w:t>
            </w:r>
          </w:p>
        </w:tc>
        <w:tc>
          <w:tcPr>
            <w:tcW w:w="709"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b/>
                <w:bCs/>
                <w:sz w:val="21"/>
                <w:szCs w:val="21"/>
              </w:rPr>
            </w:pPr>
            <w:r>
              <w:rPr>
                <w:rFonts w:hint="eastAsia" w:ascii="Times New Roman" w:hAnsi="Times New Roman" w:cs="仿宋_GB2312"/>
                <w:b/>
                <w:bCs/>
                <w:sz w:val="21"/>
                <w:szCs w:val="21"/>
              </w:rPr>
              <w:t>较重要项</w:t>
            </w:r>
          </w:p>
        </w:tc>
        <w:tc>
          <w:tcPr>
            <w:tcW w:w="737"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b/>
                <w:bCs/>
                <w:sz w:val="21"/>
                <w:szCs w:val="21"/>
              </w:rPr>
            </w:pPr>
            <w:r>
              <w:rPr>
                <w:rFonts w:hint="eastAsia" w:ascii="Times New Roman" w:hAnsi="Times New Roman" w:cs="仿宋_GB2312"/>
                <w:b/>
                <w:bCs/>
                <w:sz w:val="21"/>
                <w:szCs w:val="21"/>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715"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r>
              <w:rPr>
                <w:rFonts w:hint="eastAsia" w:ascii="Times New Roman" w:hAnsi="Times New Roman" w:eastAsia="仿宋_GB2312" w:cs="仿宋_GB2312"/>
                <w:sz w:val="32"/>
                <w:szCs w:val="32"/>
              </w:rPr>
              <w:t>1</w:t>
            </w:r>
          </w:p>
        </w:tc>
        <w:tc>
          <w:tcPr>
            <w:tcW w:w="1418"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r>
              <w:rPr>
                <w:rFonts w:hint="eastAsia" w:ascii="Times New Roman" w:hAnsi="Times New Roman" w:eastAsia="仿宋_GB2312" w:cs="仿宋_GB2312"/>
                <w:sz w:val="32"/>
                <w:szCs w:val="32"/>
              </w:rPr>
              <w:t>研究法辛烷值</w:t>
            </w:r>
          </w:p>
        </w:tc>
        <w:tc>
          <w:tcPr>
            <w:tcW w:w="2612" w:type="dxa"/>
            <w:vMerge w:val="restart"/>
            <w:vAlign w:val="center"/>
          </w:tcPr>
          <w:p>
            <w:pPr>
              <w:keepNext w:val="0"/>
              <w:keepLines w:val="0"/>
              <w:pageBreakBefore w:val="0"/>
              <w:widowControl/>
              <w:kinsoku/>
              <w:wordWrap/>
              <w:overflowPunct/>
              <w:topLinePunct w:val="0"/>
              <w:autoSpaceDE/>
              <w:autoSpaceDN w:val="0"/>
              <w:bidi w:val="0"/>
              <w:adjustRightInd w:val="0"/>
              <w:snapToGrid w:val="0"/>
              <w:spacing w:line="58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GB 17930-2016《车用汽油》</w:t>
            </w:r>
          </w:p>
        </w:tc>
        <w:tc>
          <w:tcPr>
            <w:tcW w:w="708"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r>
              <w:rPr>
                <w:rFonts w:ascii="Times New Roman" w:hAnsi="Times New Roman"/>
                <w:sz w:val="21"/>
                <w:szCs w:val="21"/>
              </w:rPr>
              <w:t>●</w:t>
            </w:r>
          </w:p>
        </w:tc>
        <w:tc>
          <w:tcPr>
            <w:tcW w:w="709"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p>
        </w:tc>
        <w:tc>
          <w:tcPr>
            <w:tcW w:w="709"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r>
              <w:rPr>
                <w:rFonts w:ascii="Times New Roman" w:hAnsi="Times New Roman"/>
                <w:sz w:val="21"/>
                <w:szCs w:val="21"/>
              </w:rPr>
              <w:t>●</w:t>
            </w:r>
          </w:p>
        </w:tc>
        <w:tc>
          <w:tcPr>
            <w:tcW w:w="709"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p>
        </w:tc>
        <w:tc>
          <w:tcPr>
            <w:tcW w:w="737"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715"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r>
              <w:rPr>
                <w:rFonts w:hint="eastAsia" w:ascii="Times New Roman" w:hAnsi="Times New Roman" w:eastAsia="仿宋_GB2312" w:cs="仿宋_GB2312"/>
                <w:sz w:val="32"/>
                <w:szCs w:val="32"/>
              </w:rPr>
              <w:t>2</w:t>
            </w:r>
          </w:p>
        </w:tc>
        <w:tc>
          <w:tcPr>
            <w:tcW w:w="1418"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r>
              <w:rPr>
                <w:rFonts w:hint="eastAsia" w:ascii="Times New Roman" w:hAnsi="Times New Roman" w:eastAsia="仿宋_GB2312" w:cs="仿宋_GB2312"/>
                <w:sz w:val="32"/>
                <w:szCs w:val="32"/>
              </w:rPr>
              <w:t>硫含量</w:t>
            </w:r>
          </w:p>
        </w:tc>
        <w:tc>
          <w:tcPr>
            <w:tcW w:w="2612" w:type="dxa"/>
            <w:vMerge w:val="continue"/>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p>
        </w:tc>
        <w:tc>
          <w:tcPr>
            <w:tcW w:w="708"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r>
              <w:rPr>
                <w:rFonts w:ascii="Times New Roman" w:hAnsi="Times New Roman"/>
                <w:sz w:val="21"/>
                <w:szCs w:val="21"/>
              </w:rPr>
              <w:t>●</w:t>
            </w:r>
          </w:p>
        </w:tc>
        <w:tc>
          <w:tcPr>
            <w:tcW w:w="709"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p>
        </w:tc>
        <w:tc>
          <w:tcPr>
            <w:tcW w:w="709"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r>
              <w:rPr>
                <w:rFonts w:ascii="Times New Roman" w:hAnsi="Times New Roman"/>
                <w:sz w:val="21"/>
                <w:szCs w:val="21"/>
              </w:rPr>
              <w:t>●</w:t>
            </w:r>
          </w:p>
        </w:tc>
        <w:tc>
          <w:tcPr>
            <w:tcW w:w="709"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p>
        </w:tc>
        <w:tc>
          <w:tcPr>
            <w:tcW w:w="737"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715"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r>
              <w:rPr>
                <w:rFonts w:hint="eastAsia" w:ascii="Times New Roman" w:hAnsi="Times New Roman" w:eastAsia="仿宋_GB2312" w:cs="仿宋_GB2312"/>
                <w:sz w:val="32"/>
                <w:szCs w:val="32"/>
              </w:rPr>
              <w:t>3</w:t>
            </w:r>
          </w:p>
        </w:tc>
        <w:tc>
          <w:tcPr>
            <w:tcW w:w="1418"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r>
              <w:rPr>
                <w:rFonts w:hint="eastAsia" w:ascii="Times New Roman" w:hAnsi="Times New Roman" w:eastAsia="仿宋_GB2312" w:cs="仿宋_GB2312"/>
                <w:sz w:val="32"/>
                <w:szCs w:val="32"/>
              </w:rPr>
              <w:t>苯含量</w:t>
            </w:r>
          </w:p>
        </w:tc>
        <w:tc>
          <w:tcPr>
            <w:tcW w:w="2612" w:type="dxa"/>
            <w:vMerge w:val="continue"/>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p>
        </w:tc>
        <w:tc>
          <w:tcPr>
            <w:tcW w:w="708"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r>
              <w:rPr>
                <w:rFonts w:ascii="Times New Roman" w:hAnsi="Times New Roman"/>
                <w:sz w:val="21"/>
                <w:szCs w:val="21"/>
              </w:rPr>
              <w:t>●</w:t>
            </w:r>
          </w:p>
        </w:tc>
        <w:tc>
          <w:tcPr>
            <w:tcW w:w="709"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p>
        </w:tc>
        <w:tc>
          <w:tcPr>
            <w:tcW w:w="709"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r>
              <w:rPr>
                <w:rFonts w:ascii="Times New Roman" w:hAnsi="Times New Roman"/>
                <w:sz w:val="21"/>
                <w:szCs w:val="21"/>
              </w:rPr>
              <w:t>●</w:t>
            </w:r>
          </w:p>
        </w:tc>
        <w:tc>
          <w:tcPr>
            <w:tcW w:w="709"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p>
        </w:tc>
        <w:tc>
          <w:tcPr>
            <w:tcW w:w="737"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715"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r>
              <w:rPr>
                <w:rFonts w:hint="eastAsia" w:ascii="Times New Roman" w:hAnsi="Times New Roman" w:eastAsia="仿宋_GB2312" w:cs="仿宋_GB2312"/>
                <w:sz w:val="32"/>
                <w:szCs w:val="32"/>
              </w:rPr>
              <w:t>4</w:t>
            </w:r>
          </w:p>
        </w:tc>
        <w:tc>
          <w:tcPr>
            <w:tcW w:w="1418"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r>
              <w:rPr>
                <w:rFonts w:hint="eastAsia" w:ascii="Times New Roman" w:hAnsi="Times New Roman" w:eastAsia="仿宋_GB2312" w:cs="仿宋_GB2312"/>
                <w:sz w:val="32"/>
                <w:szCs w:val="32"/>
              </w:rPr>
              <w:t>氧含量</w:t>
            </w:r>
          </w:p>
        </w:tc>
        <w:tc>
          <w:tcPr>
            <w:tcW w:w="2612" w:type="dxa"/>
            <w:vMerge w:val="continue"/>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p>
        </w:tc>
        <w:tc>
          <w:tcPr>
            <w:tcW w:w="708"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r>
              <w:rPr>
                <w:rFonts w:ascii="Times New Roman" w:hAnsi="Times New Roman"/>
                <w:sz w:val="21"/>
                <w:szCs w:val="21"/>
              </w:rPr>
              <w:t>●</w:t>
            </w:r>
          </w:p>
        </w:tc>
        <w:tc>
          <w:tcPr>
            <w:tcW w:w="709"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p>
        </w:tc>
        <w:tc>
          <w:tcPr>
            <w:tcW w:w="709"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p>
        </w:tc>
        <w:tc>
          <w:tcPr>
            <w:tcW w:w="709"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r>
              <w:rPr>
                <w:rFonts w:ascii="Times New Roman" w:hAnsi="Times New Roman"/>
                <w:sz w:val="21"/>
                <w:szCs w:val="21"/>
              </w:rPr>
              <w:t>●</w:t>
            </w:r>
          </w:p>
        </w:tc>
        <w:tc>
          <w:tcPr>
            <w:tcW w:w="737"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715"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r>
              <w:rPr>
                <w:rFonts w:hint="eastAsia" w:ascii="Times New Roman" w:hAnsi="Times New Roman" w:eastAsia="仿宋_GB2312" w:cs="仿宋_GB2312"/>
                <w:sz w:val="32"/>
                <w:szCs w:val="32"/>
              </w:rPr>
              <w:t>5</w:t>
            </w:r>
          </w:p>
        </w:tc>
        <w:tc>
          <w:tcPr>
            <w:tcW w:w="1418"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r>
              <w:rPr>
                <w:rFonts w:hint="eastAsia" w:ascii="Times New Roman" w:hAnsi="Times New Roman" w:eastAsia="仿宋_GB2312" w:cs="仿宋_GB2312"/>
                <w:sz w:val="32"/>
                <w:szCs w:val="32"/>
              </w:rPr>
              <w:t>甲醇含量</w:t>
            </w:r>
          </w:p>
        </w:tc>
        <w:tc>
          <w:tcPr>
            <w:tcW w:w="2612" w:type="dxa"/>
            <w:vMerge w:val="continue"/>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p>
        </w:tc>
        <w:tc>
          <w:tcPr>
            <w:tcW w:w="708"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r>
              <w:rPr>
                <w:rFonts w:ascii="Times New Roman" w:hAnsi="Times New Roman"/>
                <w:sz w:val="21"/>
                <w:szCs w:val="21"/>
              </w:rPr>
              <w:t>●</w:t>
            </w:r>
          </w:p>
        </w:tc>
        <w:tc>
          <w:tcPr>
            <w:tcW w:w="709"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p>
        </w:tc>
        <w:tc>
          <w:tcPr>
            <w:tcW w:w="709"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p>
        </w:tc>
        <w:tc>
          <w:tcPr>
            <w:tcW w:w="709"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r>
              <w:rPr>
                <w:rFonts w:ascii="Times New Roman" w:hAnsi="Times New Roman"/>
                <w:sz w:val="21"/>
                <w:szCs w:val="21"/>
              </w:rPr>
              <w:t>●</w:t>
            </w:r>
          </w:p>
        </w:tc>
        <w:tc>
          <w:tcPr>
            <w:tcW w:w="737"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15"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r>
              <w:rPr>
                <w:rFonts w:hint="eastAsia" w:ascii="Times New Roman" w:hAnsi="Times New Roman" w:eastAsia="仿宋_GB2312" w:cs="仿宋_GB2312"/>
                <w:sz w:val="32"/>
                <w:szCs w:val="32"/>
              </w:rPr>
              <w:t>6</w:t>
            </w:r>
          </w:p>
        </w:tc>
        <w:tc>
          <w:tcPr>
            <w:tcW w:w="1418" w:type="dxa"/>
            <w:vAlign w:val="center"/>
          </w:tcPr>
          <w:p>
            <w:pPr>
              <w:keepNext w:val="0"/>
              <w:keepLines w:val="0"/>
              <w:pageBreakBefore w:val="0"/>
              <w:widowControl/>
              <w:kinsoku/>
              <w:wordWrap/>
              <w:overflowPunct/>
              <w:topLinePunct w:val="0"/>
              <w:autoSpaceDE/>
              <w:bidi w:val="0"/>
              <w:adjustRightInd w:val="0"/>
              <w:snapToGrid w:val="0"/>
              <w:spacing w:before="100" w:beforeAutospacing="1" w:after="100" w:afterAutospacing="1" w:line="580" w:lineRule="exact"/>
              <w:jc w:val="center"/>
              <w:textAlignment w:val="auto"/>
              <w:rPr>
                <w:sz w:val="21"/>
                <w:szCs w:val="21"/>
              </w:rPr>
            </w:pPr>
            <w:r>
              <w:rPr>
                <w:rFonts w:hint="eastAsia" w:ascii="Times New Roman" w:hAnsi="Times New Roman" w:eastAsia="仿宋_GB2312" w:cs="仿宋_GB2312"/>
                <w:sz w:val="32"/>
                <w:szCs w:val="32"/>
              </w:rPr>
              <w:t>蒸气压</w:t>
            </w:r>
          </w:p>
        </w:tc>
        <w:tc>
          <w:tcPr>
            <w:tcW w:w="2612" w:type="dxa"/>
            <w:vAlign w:val="center"/>
          </w:tcPr>
          <w:p>
            <w:pPr>
              <w:keepNext w:val="0"/>
              <w:keepLines w:val="0"/>
              <w:pageBreakBefore w:val="0"/>
              <w:widowControl/>
              <w:kinsoku/>
              <w:wordWrap/>
              <w:overflowPunct/>
              <w:topLinePunct w:val="0"/>
              <w:autoSpaceDE/>
              <w:bidi w:val="0"/>
              <w:adjustRightInd w:val="0"/>
              <w:snapToGrid w:val="0"/>
              <w:spacing w:before="100" w:beforeAutospacing="1" w:after="100" w:afterAutospacing="1" w:line="580" w:lineRule="exact"/>
              <w:jc w:val="center"/>
              <w:textAlignment w:val="auto"/>
              <w:rPr>
                <w:sz w:val="21"/>
                <w:szCs w:val="21"/>
              </w:rPr>
            </w:pPr>
            <w:r>
              <w:rPr>
                <w:rFonts w:hint="eastAsia" w:ascii="Times New Roman" w:hAnsi="Times New Roman" w:eastAsia="仿宋_GB2312" w:cs="仿宋_GB2312"/>
                <w:sz w:val="32"/>
                <w:szCs w:val="32"/>
              </w:rPr>
              <w:t>GB 17930-2016《车用汽油》和粤府函〔2018〕218号</w:t>
            </w:r>
          </w:p>
        </w:tc>
        <w:tc>
          <w:tcPr>
            <w:tcW w:w="708"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r>
              <w:rPr>
                <w:rFonts w:ascii="Times New Roman" w:hAnsi="Times New Roman"/>
                <w:sz w:val="21"/>
                <w:szCs w:val="21"/>
              </w:rPr>
              <w:t>●</w:t>
            </w:r>
          </w:p>
        </w:tc>
        <w:tc>
          <w:tcPr>
            <w:tcW w:w="709" w:type="dxa"/>
            <w:vAlign w:val="center"/>
          </w:tcPr>
          <w:p>
            <w:pPr>
              <w:keepNext w:val="0"/>
              <w:keepLines w:val="0"/>
              <w:pageBreakBefore w:val="0"/>
              <w:widowControl/>
              <w:kinsoku/>
              <w:wordWrap/>
              <w:overflowPunct/>
              <w:topLinePunct w:val="0"/>
              <w:autoSpaceDE/>
              <w:bidi w:val="0"/>
              <w:adjustRightInd w:val="0"/>
              <w:snapToGrid w:val="0"/>
              <w:spacing w:before="100" w:beforeAutospacing="1" w:after="100" w:afterAutospacing="1" w:line="580" w:lineRule="exact"/>
              <w:jc w:val="center"/>
              <w:textAlignment w:val="auto"/>
              <w:rPr>
                <w:sz w:val="21"/>
                <w:szCs w:val="21"/>
              </w:rPr>
            </w:pPr>
          </w:p>
        </w:tc>
        <w:tc>
          <w:tcPr>
            <w:tcW w:w="709"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p>
        </w:tc>
        <w:tc>
          <w:tcPr>
            <w:tcW w:w="709"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r>
              <w:rPr>
                <w:rFonts w:ascii="Times New Roman" w:hAnsi="Times New Roman"/>
                <w:sz w:val="21"/>
                <w:szCs w:val="21"/>
              </w:rPr>
              <w:t>●</w:t>
            </w:r>
          </w:p>
        </w:tc>
        <w:tc>
          <w:tcPr>
            <w:tcW w:w="737"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p>
        </w:tc>
      </w:tr>
    </w:tbl>
    <w:p>
      <w:pPr>
        <w:keepNext w:val="0"/>
        <w:keepLines w:val="0"/>
        <w:pageBreakBefore w:val="0"/>
        <w:widowControl/>
        <w:kinsoku/>
        <w:wordWrap/>
        <w:overflowPunct/>
        <w:topLinePunct w:val="0"/>
        <w:autoSpaceDE/>
        <w:bidi w:val="0"/>
        <w:adjustRightInd w:val="0"/>
        <w:snapToGrid w:val="0"/>
        <w:spacing w:before="100" w:beforeAutospacing="1" w:after="100" w:afterAutospacing="1"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（2）车用柴油</w:t>
      </w:r>
    </w:p>
    <w:tbl>
      <w:tblPr>
        <w:tblStyle w:val="7"/>
        <w:tblW w:w="8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569"/>
        <w:gridCol w:w="2479"/>
        <w:gridCol w:w="708"/>
        <w:gridCol w:w="709"/>
        <w:gridCol w:w="709"/>
        <w:gridCol w:w="709"/>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732"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b/>
                <w:bCs/>
                <w:sz w:val="21"/>
                <w:szCs w:val="21"/>
              </w:rPr>
            </w:pPr>
            <w:r>
              <w:rPr>
                <w:rFonts w:hint="eastAsia" w:ascii="Times New Roman" w:hAnsi="Times New Roman" w:cs="仿宋_GB2312"/>
                <w:b/>
                <w:bCs/>
                <w:sz w:val="21"/>
                <w:szCs w:val="21"/>
              </w:rPr>
              <w:t>序号</w:t>
            </w:r>
          </w:p>
        </w:tc>
        <w:tc>
          <w:tcPr>
            <w:tcW w:w="1569"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b/>
                <w:bCs/>
                <w:sz w:val="21"/>
                <w:szCs w:val="21"/>
              </w:rPr>
            </w:pPr>
            <w:r>
              <w:rPr>
                <w:rFonts w:hint="eastAsia" w:ascii="Times New Roman" w:hAnsi="Times New Roman" w:cs="仿宋_GB2312"/>
                <w:b/>
                <w:bCs/>
                <w:sz w:val="21"/>
                <w:szCs w:val="21"/>
              </w:rPr>
              <w:t>检验项目</w:t>
            </w:r>
          </w:p>
        </w:tc>
        <w:tc>
          <w:tcPr>
            <w:tcW w:w="2479"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b/>
                <w:bCs/>
                <w:sz w:val="21"/>
                <w:szCs w:val="21"/>
              </w:rPr>
            </w:pPr>
            <w:r>
              <w:rPr>
                <w:rFonts w:hint="eastAsia" w:ascii="Times New Roman" w:hAnsi="Times New Roman" w:cs="仿宋_GB2312"/>
                <w:b/>
                <w:bCs/>
                <w:sz w:val="21"/>
                <w:szCs w:val="21"/>
              </w:rPr>
              <w:t>依据法律法规或标准</w:t>
            </w:r>
          </w:p>
        </w:tc>
        <w:tc>
          <w:tcPr>
            <w:tcW w:w="708"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b/>
                <w:bCs/>
                <w:sz w:val="21"/>
                <w:szCs w:val="21"/>
              </w:rPr>
            </w:pPr>
            <w:r>
              <w:rPr>
                <w:rFonts w:hint="eastAsia" w:ascii="Times New Roman" w:hAnsi="Times New Roman" w:cs="仿宋_GB2312"/>
                <w:b/>
                <w:bCs/>
                <w:sz w:val="21"/>
                <w:szCs w:val="21"/>
              </w:rPr>
              <w:t>强制性</w:t>
            </w:r>
          </w:p>
        </w:tc>
        <w:tc>
          <w:tcPr>
            <w:tcW w:w="709"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b/>
                <w:bCs/>
                <w:sz w:val="21"/>
                <w:szCs w:val="21"/>
              </w:rPr>
            </w:pPr>
            <w:r>
              <w:rPr>
                <w:rFonts w:hint="eastAsia" w:ascii="Times New Roman" w:hAnsi="Times New Roman" w:cs="仿宋_GB2312"/>
                <w:b/>
                <w:bCs/>
                <w:sz w:val="21"/>
                <w:szCs w:val="21"/>
              </w:rPr>
              <w:t>非强制性</w:t>
            </w:r>
          </w:p>
        </w:tc>
        <w:tc>
          <w:tcPr>
            <w:tcW w:w="709"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b/>
                <w:bCs/>
                <w:sz w:val="21"/>
                <w:szCs w:val="21"/>
              </w:rPr>
            </w:pPr>
            <w:r>
              <w:rPr>
                <w:rFonts w:hint="eastAsia" w:ascii="Times New Roman" w:hAnsi="Times New Roman" w:cs="仿宋_GB2312"/>
                <w:b/>
                <w:bCs/>
                <w:sz w:val="21"/>
                <w:szCs w:val="21"/>
              </w:rPr>
              <w:t>重要项</w:t>
            </w:r>
          </w:p>
        </w:tc>
        <w:tc>
          <w:tcPr>
            <w:tcW w:w="709"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b/>
                <w:bCs/>
                <w:sz w:val="21"/>
                <w:szCs w:val="21"/>
              </w:rPr>
            </w:pPr>
            <w:r>
              <w:rPr>
                <w:rFonts w:hint="eastAsia" w:ascii="Times New Roman" w:hAnsi="Times New Roman" w:cs="仿宋_GB2312"/>
                <w:b/>
                <w:bCs/>
                <w:sz w:val="21"/>
                <w:szCs w:val="21"/>
              </w:rPr>
              <w:t>较重要项</w:t>
            </w:r>
          </w:p>
        </w:tc>
        <w:tc>
          <w:tcPr>
            <w:tcW w:w="737"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b/>
                <w:bCs/>
                <w:sz w:val="21"/>
                <w:szCs w:val="21"/>
              </w:rPr>
            </w:pPr>
            <w:r>
              <w:rPr>
                <w:rFonts w:hint="eastAsia" w:ascii="Times New Roman" w:hAnsi="Times New Roman" w:cs="仿宋_GB2312"/>
                <w:b/>
                <w:bCs/>
                <w:sz w:val="21"/>
                <w:szCs w:val="21"/>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732"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r>
              <w:rPr>
                <w:rFonts w:hint="eastAsia" w:ascii="Times New Roman" w:hAnsi="Times New Roman" w:eastAsia="仿宋_GB2312" w:cs="仿宋_GB2312"/>
                <w:sz w:val="32"/>
                <w:szCs w:val="32"/>
              </w:rPr>
              <w:t>1</w:t>
            </w:r>
          </w:p>
        </w:tc>
        <w:tc>
          <w:tcPr>
            <w:tcW w:w="1569" w:type="dxa"/>
            <w:vAlign w:val="center"/>
          </w:tcPr>
          <w:p>
            <w:pPr>
              <w:keepNext w:val="0"/>
              <w:keepLines w:val="0"/>
              <w:pageBreakBefore w:val="0"/>
              <w:widowControl/>
              <w:kinsoku/>
              <w:wordWrap/>
              <w:overflowPunct/>
              <w:topLinePunct w:val="0"/>
              <w:autoSpaceDE/>
              <w:bidi w:val="0"/>
              <w:adjustRightInd w:val="0"/>
              <w:snapToGrid w:val="0"/>
              <w:spacing w:before="100" w:beforeAutospacing="1" w:after="100" w:afterAutospacing="1" w:line="580" w:lineRule="exact"/>
              <w:jc w:val="center"/>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硫含量</w:t>
            </w:r>
          </w:p>
        </w:tc>
        <w:tc>
          <w:tcPr>
            <w:tcW w:w="2479" w:type="dxa"/>
            <w:vMerge w:val="restart"/>
            <w:vAlign w:val="center"/>
          </w:tcPr>
          <w:p>
            <w:pPr>
              <w:keepNext w:val="0"/>
              <w:keepLines w:val="0"/>
              <w:pageBreakBefore w:val="0"/>
              <w:widowControl/>
              <w:kinsoku/>
              <w:wordWrap/>
              <w:overflowPunct/>
              <w:topLinePunct w:val="0"/>
              <w:autoSpaceDE/>
              <w:bidi w:val="0"/>
              <w:adjustRightInd w:val="0"/>
              <w:snapToGrid w:val="0"/>
              <w:spacing w:before="100" w:beforeAutospacing="1" w:after="100" w:afterAutospacing="1" w:line="580" w:lineRule="exact"/>
              <w:jc w:val="center"/>
              <w:textAlignment w:val="auto"/>
              <w:rPr>
                <w:sz w:val="21"/>
                <w:szCs w:val="21"/>
              </w:rPr>
            </w:pPr>
            <w:r>
              <w:rPr>
                <w:rFonts w:hint="eastAsia" w:ascii="Times New Roman" w:hAnsi="Times New Roman" w:eastAsia="仿宋_GB2312" w:cs="仿宋_GB2312"/>
                <w:sz w:val="32"/>
                <w:szCs w:val="32"/>
              </w:rPr>
              <w:t>GB 19147-2016《车用柴油》</w:t>
            </w:r>
          </w:p>
        </w:tc>
        <w:tc>
          <w:tcPr>
            <w:tcW w:w="708"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r>
              <w:rPr>
                <w:rFonts w:ascii="Times New Roman" w:hAnsi="Times New Roman"/>
                <w:sz w:val="21"/>
                <w:szCs w:val="21"/>
              </w:rPr>
              <w:t>●</w:t>
            </w:r>
          </w:p>
        </w:tc>
        <w:tc>
          <w:tcPr>
            <w:tcW w:w="709"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p>
        </w:tc>
        <w:tc>
          <w:tcPr>
            <w:tcW w:w="709"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r>
              <w:rPr>
                <w:rFonts w:ascii="Times New Roman" w:hAnsi="Times New Roman"/>
                <w:sz w:val="21"/>
                <w:szCs w:val="21"/>
              </w:rPr>
              <w:t>●</w:t>
            </w:r>
          </w:p>
        </w:tc>
        <w:tc>
          <w:tcPr>
            <w:tcW w:w="709"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p>
        </w:tc>
        <w:tc>
          <w:tcPr>
            <w:tcW w:w="737"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732"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w:t>
            </w:r>
          </w:p>
        </w:tc>
        <w:tc>
          <w:tcPr>
            <w:tcW w:w="1569" w:type="dxa"/>
            <w:vAlign w:val="center"/>
          </w:tcPr>
          <w:p>
            <w:pPr>
              <w:keepNext w:val="0"/>
              <w:keepLines w:val="0"/>
              <w:pageBreakBefore w:val="0"/>
              <w:widowControl/>
              <w:kinsoku/>
              <w:wordWrap/>
              <w:overflowPunct/>
              <w:topLinePunct w:val="0"/>
              <w:autoSpaceDE/>
              <w:bidi w:val="0"/>
              <w:adjustRightInd w:val="0"/>
              <w:snapToGrid w:val="0"/>
              <w:spacing w:before="100" w:beforeAutospacing="1" w:after="100" w:afterAutospacing="1" w:line="580" w:lineRule="exact"/>
              <w:jc w:val="center"/>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闪</w:t>
            </w:r>
            <w:r>
              <w:rPr>
                <w:rFonts w:hint="eastAsia" w:ascii="Times New Roman" w:hAnsi="Times New Roman" w:eastAsia="仿宋_GB2312" w:cs="仿宋_GB2312"/>
                <w:sz w:val="32"/>
                <w:szCs w:val="32"/>
                <w:lang w:val="en-US" w:eastAsia="zh-CN"/>
              </w:rPr>
              <w:t>点</w:t>
            </w:r>
            <w:r>
              <w:rPr>
                <w:rFonts w:hint="eastAsia" w:ascii="Times New Roman" w:hAnsi="Times New Roman" w:eastAsia="仿宋_GB2312" w:cs="仿宋_GB2312"/>
                <w:sz w:val="32"/>
                <w:szCs w:val="32"/>
              </w:rPr>
              <w:t>（闭口）</w:t>
            </w:r>
          </w:p>
        </w:tc>
        <w:tc>
          <w:tcPr>
            <w:tcW w:w="2479" w:type="dxa"/>
            <w:vMerge w:val="continue"/>
            <w:vAlign w:val="center"/>
          </w:tcPr>
          <w:p>
            <w:pPr>
              <w:keepNext w:val="0"/>
              <w:keepLines w:val="0"/>
              <w:pageBreakBefore w:val="0"/>
              <w:widowControl/>
              <w:kinsoku/>
              <w:wordWrap/>
              <w:overflowPunct/>
              <w:topLinePunct w:val="0"/>
              <w:autoSpaceDE/>
              <w:bidi w:val="0"/>
              <w:adjustRightInd w:val="0"/>
              <w:snapToGrid w:val="0"/>
              <w:spacing w:before="100" w:beforeAutospacing="1" w:after="100" w:afterAutospacing="1" w:line="580" w:lineRule="exact"/>
              <w:jc w:val="center"/>
              <w:textAlignment w:val="auto"/>
              <w:rPr>
                <w:sz w:val="21"/>
                <w:szCs w:val="21"/>
              </w:rPr>
            </w:pPr>
          </w:p>
        </w:tc>
        <w:tc>
          <w:tcPr>
            <w:tcW w:w="708"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r>
              <w:rPr>
                <w:rFonts w:ascii="Times New Roman" w:hAnsi="Times New Roman"/>
                <w:sz w:val="21"/>
                <w:szCs w:val="21"/>
              </w:rPr>
              <w:t>●</w:t>
            </w:r>
          </w:p>
        </w:tc>
        <w:tc>
          <w:tcPr>
            <w:tcW w:w="709"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p>
        </w:tc>
        <w:tc>
          <w:tcPr>
            <w:tcW w:w="709"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r>
              <w:rPr>
                <w:rFonts w:ascii="Times New Roman" w:hAnsi="Times New Roman"/>
                <w:sz w:val="21"/>
                <w:szCs w:val="21"/>
              </w:rPr>
              <w:t>●</w:t>
            </w:r>
          </w:p>
        </w:tc>
        <w:tc>
          <w:tcPr>
            <w:tcW w:w="709"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p>
        </w:tc>
        <w:tc>
          <w:tcPr>
            <w:tcW w:w="737"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732"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w:t>
            </w:r>
          </w:p>
        </w:tc>
        <w:tc>
          <w:tcPr>
            <w:tcW w:w="1569" w:type="dxa"/>
            <w:vAlign w:val="center"/>
          </w:tcPr>
          <w:p>
            <w:pPr>
              <w:keepNext w:val="0"/>
              <w:keepLines w:val="0"/>
              <w:pageBreakBefore w:val="0"/>
              <w:widowControl/>
              <w:kinsoku/>
              <w:wordWrap/>
              <w:overflowPunct/>
              <w:topLinePunct w:val="0"/>
              <w:autoSpaceDE/>
              <w:bidi w:val="0"/>
              <w:adjustRightInd w:val="0"/>
              <w:snapToGrid w:val="0"/>
              <w:spacing w:before="100" w:beforeAutospacing="1" w:after="100" w:afterAutospacing="1" w:line="580" w:lineRule="exact"/>
              <w:jc w:val="center"/>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馏程</w:t>
            </w:r>
          </w:p>
        </w:tc>
        <w:tc>
          <w:tcPr>
            <w:tcW w:w="2479" w:type="dxa"/>
            <w:vMerge w:val="continue"/>
            <w:vAlign w:val="center"/>
          </w:tcPr>
          <w:p>
            <w:pPr>
              <w:keepNext w:val="0"/>
              <w:keepLines w:val="0"/>
              <w:pageBreakBefore w:val="0"/>
              <w:widowControl/>
              <w:kinsoku/>
              <w:wordWrap/>
              <w:overflowPunct/>
              <w:topLinePunct w:val="0"/>
              <w:autoSpaceDE/>
              <w:bidi w:val="0"/>
              <w:adjustRightInd w:val="0"/>
              <w:snapToGrid w:val="0"/>
              <w:spacing w:before="100" w:beforeAutospacing="1" w:after="100" w:afterAutospacing="1" w:line="580" w:lineRule="exact"/>
              <w:jc w:val="center"/>
              <w:textAlignment w:val="auto"/>
              <w:rPr>
                <w:sz w:val="21"/>
                <w:szCs w:val="21"/>
              </w:rPr>
            </w:pPr>
          </w:p>
        </w:tc>
        <w:tc>
          <w:tcPr>
            <w:tcW w:w="708"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r>
              <w:rPr>
                <w:rFonts w:ascii="Times New Roman" w:hAnsi="Times New Roman"/>
                <w:sz w:val="21"/>
                <w:szCs w:val="21"/>
              </w:rPr>
              <w:t>●</w:t>
            </w:r>
          </w:p>
        </w:tc>
        <w:tc>
          <w:tcPr>
            <w:tcW w:w="709"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p>
        </w:tc>
        <w:tc>
          <w:tcPr>
            <w:tcW w:w="709"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p>
        </w:tc>
        <w:tc>
          <w:tcPr>
            <w:tcW w:w="709"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r>
              <w:rPr>
                <w:rFonts w:ascii="Times New Roman" w:hAnsi="Times New Roman"/>
                <w:sz w:val="21"/>
                <w:szCs w:val="21"/>
              </w:rPr>
              <w:t>●</w:t>
            </w:r>
          </w:p>
        </w:tc>
        <w:tc>
          <w:tcPr>
            <w:tcW w:w="737"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732"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r>
              <w:rPr>
                <w:rFonts w:hint="eastAsia" w:ascii="Times New Roman" w:hAnsi="Times New Roman" w:eastAsia="仿宋_GB2312" w:cs="仿宋_GB2312"/>
                <w:sz w:val="32"/>
                <w:szCs w:val="32"/>
              </w:rPr>
              <w:t>4</w:t>
            </w:r>
          </w:p>
        </w:tc>
        <w:tc>
          <w:tcPr>
            <w:tcW w:w="1569" w:type="dxa"/>
            <w:vAlign w:val="center"/>
          </w:tcPr>
          <w:p>
            <w:pPr>
              <w:keepNext w:val="0"/>
              <w:keepLines w:val="0"/>
              <w:pageBreakBefore w:val="0"/>
              <w:widowControl/>
              <w:kinsoku/>
              <w:wordWrap/>
              <w:overflowPunct/>
              <w:topLinePunct w:val="0"/>
              <w:autoSpaceDE/>
              <w:bidi w:val="0"/>
              <w:adjustRightInd w:val="0"/>
              <w:snapToGrid w:val="0"/>
              <w:spacing w:before="100" w:beforeAutospacing="1" w:after="100" w:afterAutospacing="1" w:line="580" w:lineRule="exact"/>
              <w:jc w:val="center"/>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密度</w:t>
            </w:r>
          </w:p>
        </w:tc>
        <w:tc>
          <w:tcPr>
            <w:tcW w:w="2479" w:type="dxa"/>
            <w:vMerge w:val="continue"/>
            <w:vAlign w:val="center"/>
          </w:tcPr>
          <w:p>
            <w:pPr>
              <w:keepNext w:val="0"/>
              <w:keepLines w:val="0"/>
              <w:pageBreakBefore w:val="0"/>
              <w:widowControl/>
              <w:kinsoku/>
              <w:wordWrap/>
              <w:overflowPunct/>
              <w:topLinePunct w:val="0"/>
              <w:autoSpaceDE/>
              <w:bidi w:val="0"/>
              <w:adjustRightInd w:val="0"/>
              <w:snapToGrid w:val="0"/>
              <w:spacing w:before="100" w:beforeAutospacing="1" w:after="100" w:afterAutospacing="1" w:line="580" w:lineRule="exact"/>
              <w:jc w:val="center"/>
              <w:textAlignment w:val="auto"/>
              <w:rPr>
                <w:sz w:val="21"/>
                <w:szCs w:val="21"/>
              </w:rPr>
            </w:pPr>
          </w:p>
        </w:tc>
        <w:tc>
          <w:tcPr>
            <w:tcW w:w="708"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r>
              <w:rPr>
                <w:rFonts w:ascii="Times New Roman" w:hAnsi="Times New Roman"/>
                <w:sz w:val="21"/>
                <w:szCs w:val="21"/>
              </w:rPr>
              <w:t>●</w:t>
            </w:r>
          </w:p>
        </w:tc>
        <w:tc>
          <w:tcPr>
            <w:tcW w:w="709" w:type="dxa"/>
            <w:vAlign w:val="center"/>
          </w:tcPr>
          <w:p>
            <w:pPr>
              <w:keepNext w:val="0"/>
              <w:keepLines w:val="0"/>
              <w:pageBreakBefore w:val="0"/>
              <w:widowControl/>
              <w:kinsoku/>
              <w:wordWrap/>
              <w:overflowPunct/>
              <w:topLinePunct w:val="0"/>
              <w:autoSpaceDE/>
              <w:bidi w:val="0"/>
              <w:adjustRightInd w:val="0"/>
              <w:snapToGrid w:val="0"/>
              <w:spacing w:before="100" w:beforeAutospacing="1" w:after="100" w:afterAutospacing="1" w:line="580" w:lineRule="exact"/>
              <w:jc w:val="center"/>
              <w:textAlignment w:val="auto"/>
              <w:rPr>
                <w:sz w:val="21"/>
                <w:szCs w:val="21"/>
              </w:rPr>
            </w:pPr>
          </w:p>
        </w:tc>
        <w:tc>
          <w:tcPr>
            <w:tcW w:w="709"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p>
        </w:tc>
        <w:tc>
          <w:tcPr>
            <w:tcW w:w="709"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r>
              <w:rPr>
                <w:rFonts w:ascii="Times New Roman" w:hAnsi="Times New Roman"/>
                <w:sz w:val="21"/>
                <w:szCs w:val="21"/>
              </w:rPr>
              <w:t>●</w:t>
            </w:r>
          </w:p>
        </w:tc>
        <w:tc>
          <w:tcPr>
            <w:tcW w:w="737" w:type="dxa"/>
            <w:vAlign w:val="center"/>
          </w:tcPr>
          <w:p>
            <w:pPr>
              <w:keepNext w:val="0"/>
              <w:keepLines w:val="0"/>
              <w:pageBreakBefore w:val="0"/>
              <w:widowControl/>
              <w:kinsoku/>
              <w:wordWrap/>
              <w:overflowPunct/>
              <w:topLinePunct w:val="0"/>
              <w:autoSpaceDE/>
              <w:bidi w:val="0"/>
              <w:adjustRightInd w:val="0"/>
              <w:snapToGrid w:val="0"/>
              <w:spacing w:line="580" w:lineRule="exact"/>
              <w:jc w:val="center"/>
              <w:textAlignment w:val="auto"/>
              <w:rPr>
                <w:sz w:val="21"/>
                <w:szCs w:val="21"/>
              </w:rPr>
            </w:pPr>
          </w:p>
        </w:tc>
      </w:tr>
    </w:tbl>
    <w:p>
      <w:pPr>
        <w:keepNext w:val="0"/>
        <w:keepLines w:val="0"/>
        <w:pageBreakBefore w:val="0"/>
        <w:widowControl/>
        <w:kinsoku/>
        <w:wordWrap/>
        <w:overflowPunct/>
        <w:topLinePunct w:val="0"/>
        <w:autoSpaceDE/>
        <w:autoSpaceDN/>
        <w:bidi w:val="0"/>
        <w:adjustRightInd w:val="0"/>
        <w:snapToGrid w:val="0"/>
        <w:spacing w:after="0" w:line="580" w:lineRule="exact"/>
        <w:textAlignment w:val="auto"/>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rPr>
        <w:t>六、本细则未明确的监督抽查抽样检验相关技术规范，均按照《产品质量监督抽查管理暂行办法》（国家市场监督管理总局第18号令）、《产品质量监督抽查抽样检验技术服务规范》（T/GDAQI 020-2020）规定执行。</w:t>
      </w:r>
    </w:p>
    <w:p>
      <w:pPr>
        <w:keepNext w:val="0"/>
        <w:keepLines w:val="0"/>
        <w:pageBreakBefore w:val="0"/>
        <w:widowControl/>
        <w:kinsoku/>
        <w:wordWrap/>
        <w:overflowPunct/>
        <w:topLinePunct w:val="0"/>
        <w:autoSpaceDE/>
        <w:bidi w:val="0"/>
        <w:adjustRightInd w:val="0"/>
        <w:snapToGrid w:val="0"/>
        <w:spacing w:line="580" w:lineRule="exact"/>
        <w:ind w:firstLine="640" w:firstLineChars="200"/>
        <w:textAlignment w:val="auto"/>
      </w:pPr>
      <w:r>
        <w:rPr>
          <w:rFonts w:hint="eastAsia" w:ascii="Times New Roman" w:hAnsi="Times New Roman" w:eastAsia="仿宋_GB2312"/>
          <w:sz w:val="32"/>
          <w:szCs w:val="32"/>
        </w:rPr>
        <w:t>被抽样生产者、销售者对检验结论有异议的，应提出书面复检申请并阐明理由，向</w:t>
      </w:r>
      <w:r>
        <w:rPr>
          <w:rFonts w:hint="eastAsia" w:ascii="Times New Roman" w:hAnsi="Times New Roman" w:eastAsia="仿宋_GB2312"/>
          <w:sz w:val="32"/>
          <w:szCs w:val="32"/>
          <w:lang w:val="en-US" w:eastAsia="zh-CN"/>
        </w:rPr>
        <w:t>河源市</w:t>
      </w:r>
      <w:r>
        <w:rPr>
          <w:rFonts w:hint="eastAsia" w:ascii="Times New Roman" w:hAnsi="Times New Roman" w:eastAsia="仿宋_GB2312"/>
          <w:sz w:val="32"/>
          <w:szCs w:val="32"/>
        </w:rPr>
        <w:t>市场监督管理局提出，由</w:t>
      </w:r>
      <w:r>
        <w:rPr>
          <w:rFonts w:hint="eastAsia" w:ascii="Times New Roman" w:hAnsi="Times New Roman" w:eastAsia="仿宋_GB2312"/>
          <w:sz w:val="32"/>
          <w:szCs w:val="32"/>
          <w:lang w:val="en-US" w:eastAsia="zh-CN"/>
        </w:rPr>
        <w:t>河源市</w:t>
      </w:r>
      <w:r>
        <w:rPr>
          <w:rFonts w:hint="eastAsia" w:ascii="Times New Roman" w:hAnsi="Times New Roman" w:eastAsia="仿宋_GB2312"/>
          <w:sz w:val="32"/>
          <w:szCs w:val="32"/>
        </w:rPr>
        <w:t>市场监督管理局依法依规处理。</w:t>
      </w:r>
      <w:bookmarkStart w:id="0" w:name="_GoBack"/>
      <w:bookmarkEnd w:id="0"/>
    </w:p>
    <w:sectPr>
      <w:footerReference r:id="rId3" w:type="default"/>
      <w:pgSz w:w="11906" w:h="16838"/>
      <w:pgMar w:top="1440" w:right="1800" w:bottom="1440" w:left="1800" w:header="708" w:footer="708" w:gutter="0"/>
      <w:pgNumType w:fmt="decimal"/>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2.25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rPr>
                    <w:rFonts w:hint="default" w:ascii="Times New Roman" w:hAnsi="Times New Roman" w:eastAsia="微软雅黑"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hdrShapeDefaults>
    <o:shapelayout v:ext="edit">
      <o:idmap v:ext="edit" data="3,4"/>
    </o:shapelayout>
  </w:hdrShapeDefaults>
  <w:compat>
    <w:useFELayout/>
    <w:compatSetting w:name="compatibilityMode" w:uri="http://schemas.microsoft.com/office/word" w:val="12"/>
  </w:compat>
  <w:rsids>
    <w:rsidRoot w:val="00D31D50"/>
    <w:rsid w:val="00070887"/>
    <w:rsid w:val="001906C2"/>
    <w:rsid w:val="00323B43"/>
    <w:rsid w:val="003D37D8"/>
    <w:rsid w:val="00426133"/>
    <w:rsid w:val="004358AB"/>
    <w:rsid w:val="00806A54"/>
    <w:rsid w:val="008B7726"/>
    <w:rsid w:val="00A73F45"/>
    <w:rsid w:val="00D31D50"/>
    <w:rsid w:val="00DA4126"/>
    <w:rsid w:val="00E521F9"/>
    <w:rsid w:val="2FA568B4"/>
    <w:rsid w:val="6BC73EA4"/>
    <w:rsid w:val="7BB52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semiHidden/>
    <w:unhideWhenUsed/>
    <w:qFormat/>
    <w:uiPriority w:val="99"/>
    <w:pPr>
      <w:tabs>
        <w:tab w:val="center" w:pos="4153"/>
        <w:tab w:val="right" w:pos="8306"/>
      </w:tabs>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Title"/>
    <w:basedOn w:val="1"/>
    <w:next w:val="1"/>
    <w:link w:val="14"/>
    <w:qFormat/>
    <w:uiPriority w:val="10"/>
    <w:pPr>
      <w:spacing w:before="240" w:after="60"/>
      <w:jc w:val="center"/>
      <w:outlineLvl w:val="0"/>
    </w:pPr>
    <w:rPr>
      <w:rFonts w:eastAsia="宋体" w:asciiTheme="majorHAnsi" w:hAnsiTheme="majorHAnsi" w:cstheme="majorBidi"/>
      <w:b/>
      <w:bCs/>
      <w:sz w:val="32"/>
      <w:szCs w:val="32"/>
    </w:rPr>
  </w:style>
  <w:style w:type="character" w:customStyle="1" w:styleId="9">
    <w:name w:val="页眉 Char"/>
    <w:basedOn w:val="8"/>
    <w:link w:val="5"/>
    <w:semiHidden/>
    <w:qFormat/>
    <w:uiPriority w:val="99"/>
    <w:rPr>
      <w:rFonts w:ascii="Tahoma" w:hAnsi="Tahoma"/>
      <w:sz w:val="18"/>
      <w:szCs w:val="18"/>
    </w:rPr>
  </w:style>
  <w:style w:type="character" w:customStyle="1" w:styleId="10">
    <w:name w:val="页脚 Char"/>
    <w:basedOn w:val="8"/>
    <w:link w:val="4"/>
    <w:semiHidden/>
    <w:qFormat/>
    <w:uiPriority w:val="99"/>
    <w:rPr>
      <w:rFonts w:ascii="Tahoma" w:hAnsi="Tahoma"/>
      <w:sz w:val="18"/>
      <w:szCs w:val="18"/>
    </w:rPr>
  </w:style>
  <w:style w:type="paragraph" w:customStyle="1" w:styleId="11">
    <w:name w:val="段"/>
    <w:qFormat/>
    <w:uiPriority w:val="0"/>
    <w:pPr>
      <w:tabs>
        <w:tab w:val="center" w:pos="4201"/>
        <w:tab w:val="right" w:leader="dot" w:pos="9298"/>
      </w:tabs>
      <w:autoSpaceDE w:val="0"/>
      <w:autoSpaceDN w:val="0"/>
      <w:spacing w:after="0" w:line="240" w:lineRule="auto"/>
      <w:ind w:firstLine="420" w:firstLineChars="200"/>
      <w:jc w:val="both"/>
    </w:pPr>
    <w:rPr>
      <w:rFonts w:ascii="宋体" w:hAnsi="Calibri" w:eastAsia="宋体" w:cs="Times New Roman"/>
      <w:kern w:val="2"/>
      <w:sz w:val="21"/>
      <w:szCs w:val="22"/>
      <w:lang w:val="en-US" w:eastAsia="zh-CN" w:bidi="ar-SA"/>
    </w:rPr>
  </w:style>
  <w:style w:type="character" w:customStyle="1" w:styleId="12">
    <w:name w:val="标题 1 Char"/>
    <w:basedOn w:val="8"/>
    <w:link w:val="2"/>
    <w:qFormat/>
    <w:uiPriority w:val="9"/>
    <w:rPr>
      <w:rFonts w:ascii="Tahoma" w:hAnsi="Tahoma"/>
      <w:b/>
      <w:bCs/>
      <w:kern w:val="44"/>
      <w:sz w:val="44"/>
      <w:szCs w:val="44"/>
    </w:rPr>
  </w:style>
  <w:style w:type="character" w:customStyle="1" w:styleId="13">
    <w:name w:val="标题 2 Char"/>
    <w:basedOn w:val="8"/>
    <w:link w:val="3"/>
    <w:qFormat/>
    <w:uiPriority w:val="9"/>
    <w:rPr>
      <w:rFonts w:asciiTheme="majorHAnsi" w:hAnsiTheme="majorHAnsi" w:eastAsiaTheme="majorEastAsia" w:cstheme="majorBidi"/>
      <w:b/>
      <w:bCs/>
      <w:sz w:val="32"/>
      <w:szCs w:val="32"/>
    </w:rPr>
  </w:style>
  <w:style w:type="character" w:customStyle="1" w:styleId="14">
    <w:name w:val="标题 Char"/>
    <w:basedOn w:val="8"/>
    <w:link w:val="6"/>
    <w:qFormat/>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232</Words>
  <Characters>1323</Characters>
  <Lines>11</Lines>
  <Paragraphs>3</Paragraphs>
  <TotalTime>56</TotalTime>
  <ScaleCrop>false</ScaleCrop>
  <LinksUpToDate>false</LinksUpToDate>
  <CharactersWithSpaces>1552</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wj6-3</dc:creator>
  <cp:lastModifiedBy>黄婷</cp:lastModifiedBy>
  <cp:lastPrinted>2021-05-07T06:50:38Z</cp:lastPrinted>
  <dcterms:modified xsi:type="dcterms:W3CDTF">2021-05-07T06:51:53Z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