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源城区新江街道老旧小区改造工程（上角片区）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1035号）文件规定，将2021年第二批保障性安居工程配套基础设施建设中央预算内投资1408万元专项用于项目配套基础设施，加快推进项目建设。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1408万元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auto"/>
        <w:ind w:left="0" w:leftChars="0" w:firstLine="0" w:firstLineChars="0"/>
        <w:contextualSpacing/>
        <w:textAlignment w:val="auto"/>
        <w:rPr>
          <w:rFonts w:hint="eastAsia"/>
          <w:color w:val="000000"/>
          <w:kern w:val="0"/>
          <w:sz w:val="16"/>
          <w:szCs w:val="16"/>
        </w:rPr>
        <w:sectPr>
          <w:pgSz w:w="11906" w:h="16838"/>
          <w:pgMar w:top="1985" w:right="1616" w:bottom="1814" w:left="1616" w:header="851" w:footer="1474" w:gutter="0"/>
          <w:cols w:space="720" w:num="1"/>
          <w:docGrid w:type="lines" w:linePitch="588" w:charSpace="0"/>
        </w:sect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2-2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源城区新江街道老旧小区改造工程（朱门亭片区）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1035号）文件规定，将2021年第二批保障性安居工程配套基础设施建设中央预算内投资874万元专项用于项目配套基础设施，加快推进项目建设。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874万元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2-3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源城区东埔河沿岸（长安西路、红星西路）段老旧小区配套基础设施改造工程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1035号）文件规定，将2021年第二批保障性安居工程配套基础设施建设中央预算内投资3605万元专项用于项目配套基础设施，加快推进项目建设。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3605万元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auto"/>
        <w:ind w:left="0" w:leftChars="0" w:firstLine="0" w:firstLineChars="0"/>
        <w:contextualSpacing/>
        <w:textAlignment w:val="auto"/>
        <w:rPr>
          <w:rFonts w:hint="eastAsia"/>
          <w:color w:val="000000"/>
          <w:kern w:val="0"/>
          <w:sz w:val="16"/>
          <w:szCs w:val="16"/>
        </w:rPr>
        <w:sectPr>
          <w:pgSz w:w="11906" w:h="16838"/>
          <w:pgMar w:top="1985" w:right="1616" w:bottom="1814" w:left="1616" w:header="851" w:footer="1474" w:gutter="0"/>
          <w:cols w:space="720" w:num="1"/>
          <w:docGrid w:type="lines" w:linePitch="588" w:charSpace="0"/>
        </w:sect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2-4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源城区东埔河沿岸（永和西路、文明西路）段老旧小区配套基础设施改造工程项目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1035号）文件规定，将2021年第二批保障性安居工程配套基础设施建设中央预算内投资3539万元专项用于项目配套基础设施，加快推进项目建设。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3539万元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auto"/>
        <w:ind w:left="0" w:leftChars="0" w:firstLine="0" w:firstLineChars="0"/>
        <w:contextualSpacing/>
        <w:textAlignment w:val="auto"/>
        <w:rPr>
          <w:rFonts w:hint="eastAsia"/>
          <w:color w:val="000000"/>
          <w:kern w:val="0"/>
          <w:sz w:val="16"/>
          <w:szCs w:val="16"/>
        </w:rPr>
        <w:sectPr>
          <w:pgSz w:w="11906" w:h="16838"/>
          <w:pgMar w:top="1985" w:right="1616" w:bottom="1814" w:left="1616" w:header="851" w:footer="1474" w:gutter="0"/>
          <w:cols w:space="720" w:num="1"/>
          <w:docGrid w:type="lines" w:linePitch="588" w:charSpace="0"/>
        </w:sectPr>
      </w:pPr>
    </w:p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2-5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源城区“百街千巷”项目上城街道白云巷片区综合治理项目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1035号）文件规定，将2021年第二批保障性安居工程配套基础设施建设中央预算内投资249万元专项用于项目配套基础设施，加快推进项目建设。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249万元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2-6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源城区“百街千巷”项目上城街道上围村片区整治提升工程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1035号）文件规定，将2021年第二批保障性安居工程配套基础设施建设中央预算内投资266万元专项用于项目配套基础设施，加快推进项目建设。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266万元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2-7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源城区“百街千巷”项目上城街道白马庙片区综合整治项目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1035号）文件规定，将2021年第二批保障性安居工程配套基础设施建设中央预算内投资220万元专项用于项目配套基础设施，加快推进项目建设。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2-8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源城区“百街千巷”项目上城街道下围村片区综合整治项目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1035号）文件规定，将2021年第二批保障性安居工程配套基础设施建设中央预算内投资245万元专项用于项目配套基础设施，加快推进项目建设。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245万元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2-9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源城区“百街千巷”项目上城街道贸易城南片区综合整治工程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1035号）文件规定，将2021年第二批保障性安居工程配套基础设施建设中央预算内投资195万元专项用于项目配套基础设施，加快推进项目建设。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195万元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2-10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源城区“百街千巷”项目上城街道地主村片区整治提升工程项目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1035号）文件规定，将2021年第二批保障性安居工程配套基础设施建设中央预算内投资223万元专项用于项目配套基础设施，加快推进项目建设。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223万元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2-11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源城区“百街千巷”项目上城街道果园路片区综合整治工程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1035号）文件规定，将2021年第二批保障性安居工程配套基础设施建设中央预算内投资253万元专项用于项目配套基础设施，加快推进项目建设。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253万元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2-12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滨江大道立面改造工程项目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1035号）文件规定，将2021年第二批保障性安居工程配套基础设施建设中央预算内投资47万元专项用于项目配套基础设施，加快推进项目建设。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47万元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2-13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中心街西段沿街建筑立面整治工程项目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1035号）文件规定，将2021年第二批保障性安居工程配套基础设施建设中央预算内投资189万元专项用于项目配套基础设施，加快推进项目建设。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189万元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2-14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源城区“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百街千巷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鳄湖公园环湖路改造工程项目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1035号）文件规定，将2021年第二批保障性安居工程配套基础设施建设中央预算内投资334万元专项用于项目配套基础设施，加快推进项目建设。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334万元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2-15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源城区“百街千巷”大桥路改造工程项目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1035号）文件规定，将2021年第二批保障性安居工程配套基础设施建设中央预算内投资160万元专项用于项目配套基础设施，加快推进项目建设。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eastAsia" w:ascii="方正黑体_GBK" w:eastAsia="方正黑体_GBK"/>
          <w:sz w:val="32"/>
          <w:szCs w:val="32"/>
        </w:rPr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2-16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源城区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中心城区东埔街道2020年百街千巷综合整治工程项目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1035号）文件规定，将2021年第二批保障性安居工程配套基础设施建设中央预算内投资1919万元专项用于项目配套基础设施，加快推进项目建设。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1919万元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snapToGrid w:val="0"/>
        <w:ind w:firstLine="0" w:firstLineChars="0"/>
        <w:rPr>
          <w:rFonts w:hint="default" w:eastAsia="方正黑体_GBK"/>
          <w:sz w:val="32"/>
          <w:szCs w:val="32"/>
          <w:lang w:val="en-US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2-17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eastAsia="zh-CN"/>
        </w:rPr>
        <w:t>保障性安居工程</w:t>
      </w:r>
      <w:r>
        <w:rPr>
          <w:rFonts w:hint="eastAsia" w:ascii="方正小标宋_GBK" w:eastAsia="方正小标宋_GBK"/>
          <w:sz w:val="40"/>
          <w:szCs w:val="40"/>
        </w:rPr>
        <w:t>20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21</w:t>
      </w:r>
      <w:r>
        <w:rPr>
          <w:rFonts w:hint="eastAsia" w:ascii="方正小标宋_GBK" w:eastAsia="方正小标宋_GBK"/>
          <w:sz w:val="40"/>
          <w:szCs w:val="40"/>
        </w:rPr>
        <w:t>年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第二批</w:t>
      </w:r>
      <w:r>
        <w:rPr>
          <w:rFonts w:hint="eastAsia" w:ascii="方正小标宋_GBK" w:eastAsia="方正小标宋_GBK"/>
          <w:sz w:val="40"/>
          <w:szCs w:val="40"/>
        </w:rPr>
        <w:t>中央预算内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投资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计划</w:t>
      </w:r>
      <w:r>
        <w:rPr>
          <w:rFonts w:hint="eastAsia" w:ascii="方正小标宋_GBK" w:eastAsia="方正小标宋_GBK"/>
          <w:sz w:val="40"/>
          <w:szCs w:val="40"/>
        </w:rPr>
        <w:t>绩效目标表</w:t>
      </w:r>
    </w:p>
    <w:p>
      <w:pPr>
        <w:snapToGrid w:val="0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32"/>
          <w:szCs w:val="32"/>
          <w:lang w:val="en-US" w:eastAsia="zh-CN"/>
        </w:rPr>
        <w:t>2021年度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）</w:t>
      </w:r>
    </w:p>
    <w:tbl>
      <w:tblPr>
        <w:tblStyle w:val="3"/>
        <w:tblW w:w="8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6"/>
        <w:gridCol w:w="629"/>
        <w:gridCol w:w="625"/>
        <w:gridCol w:w="2660"/>
        <w:gridCol w:w="2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老城中心城区人民路-长塘路“百街千巷”精品街改造项目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下达地方或单位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源城区发展改革局、住房城乡建设局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本次下达中央预算内投资（万元）</w:t>
            </w:r>
          </w:p>
        </w:tc>
        <w:tc>
          <w:tcPr>
            <w:tcW w:w="5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总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体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目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按照《中央预算内投资保障性安居工程专项管理暂行办法》（发改投资规〔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1035号）文件规定，将2021年第二批保障性安居工程配套基础设施建设中央预算内投资283万元专项用于项目配套基础设施，加快推进项目建设。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napToGrid w:val="0"/>
              <w:spacing w:line="24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实施效果指标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产出指标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下达中央预算内投资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283万元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效益指标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提高群众获得感、幸福感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有效提高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满意度指标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居民满意度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过程管理指标</w:t>
            </w:r>
          </w:p>
          <w:p>
            <w:pPr>
              <w:snapToGrid w:val="0"/>
              <w:ind w:firstLine="320"/>
              <w:contextualSpacing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计划管理指标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投资计划分解（转发）用时达标率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“两个责任”按项目落实到位率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1"/>
                <w:szCs w:val="21"/>
                <w:lang w:val="en-US" w:eastAsia="zh-CN"/>
              </w:rPr>
              <w:t>资金管理指标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中央预算内投资支付率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年度计划投资完成率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20"/>
              <w:contextualSpacing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项目管理指标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项目开工率</w:t>
            </w:r>
          </w:p>
        </w:tc>
        <w:tc>
          <w:tcPr>
            <w:tcW w:w="2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超规模、超标准、超概算项目比例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监督检查指标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left"/>
              <w:textAlignment w:val="auto"/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审计、督查、巡视等指出问题项目比例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contextualSpacing/>
              <w:jc w:val="center"/>
              <w:textAlignment w:val="auto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64692"/>
    <w:rsid w:val="007A7BCC"/>
    <w:rsid w:val="3434428C"/>
    <w:rsid w:val="35136C4B"/>
    <w:rsid w:val="3FEE65C3"/>
    <w:rsid w:val="42606276"/>
    <w:rsid w:val="5A6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2021-05-18T09:07:00Z</dcterms:created>
  <dc:creator>郑昊</dc:creator>
  <cp:lastModifiedBy>钟蔚</cp:lastModifiedBy>
  <cp:lastPrinted>2021-05-18T09:37:00Z</cp:lastPrinted>
  <dcterms:modified xsi:type="dcterms:W3CDTF">2021-05-25T03:00:41Z</dcterms:modified>
  <dc:title>附件2-1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