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河源市卫生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学校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《健康评估》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课程标准</w:t>
      </w:r>
    </w:p>
    <w:p>
      <w:pPr>
        <w:spacing w:line="560" w:lineRule="exac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lang w:val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204470</wp:posOffset>
            </wp:positionV>
            <wp:extent cx="2738755" cy="2672715"/>
            <wp:effectExtent l="0" t="0" r="4445" b="13335"/>
            <wp:wrapNone/>
            <wp:docPr id="25" name="图片 25" descr="学校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校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pStyle w:val="2"/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课程名称：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健康评估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 xml:space="preserve">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课程编码：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>5001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 xml:space="preserve">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适用专业：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护理、助产、中医护理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 xml:space="preserve">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开设学期：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一年级第二学期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课程学时：</w:t>
      </w:r>
      <w:bookmarkStart w:id="0" w:name="_Hlk78558529"/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40学时（理论2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>0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，实践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>20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</w:t>
      </w:r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课程学分：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>3学分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参与制（修）订企业：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县市二甲以上医院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课程类型： □理论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sym w:font="Wingdings 2" w:char="0052"/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理实一体化  □纯实训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制（修）订人：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巫雪兰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日  期：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>2021年1月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审定人：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>李洋州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日  期：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  <w:lang w:val="en-US"/>
        </w:rPr>
        <w:t>2021年1月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600" w:lineRule="auto"/>
        <w:jc w:val="center"/>
        <w:rPr>
          <w:b/>
          <w:sz w:val="44"/>
          <w:szCs w:val="44"/>
        </w:rPr>
      </w:pPr>
      <w:bookmarkStart w:id="1" w:name="目录"/>
      <w:r>
        <w:rPr>
          <w:b/>
          <w:sz w:val="44"/>
          <w:szCs w:val="44"/>
        </w:rPr>
        <w:t>目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>录</w:t>
      </w:r>
    </w:p>
    <w:bookmarkEnd w:id="1"/>
    <w:p>
      <w:pPr>
        <w:tabs>
          <w:tab w:val="right" w:leader="dot" w:pos="10549"/>
        </w:tabs>
        <w:autoSpaceDE/>
        <w:autoSpaceDN/>
        <w:spacing w:line="600" w:lineRule="auto"/>
        <w:rPr>
          <w:rStyle w:val="16"/>
          <w:rFonts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</w:pP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fldChar w:fldCharType="begin"/>
      </w: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instrText xml:space="preserve"> HYPERLINK  \l "</w:instrText>
      </w:r>
      <w:r>
        <w:rPr>
          <w:rFonts w:hint="eastAsia" w:ascii="Calibri" w:hAnsi="Calibri" w:cs="Times New Roman"/>
          <w:b/>
          <w:kern w:val="2"/>
          <w:sz w:val="28"/>
          <w:szCs w:val="24"/>
          <w:lang w:val="en-US" w:bidi="ar-SA"/>
        </w:rPr>
        <w:instrText xml:space="preserve">一适用对象</w:instrText>
      </w: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instrText xml:space="preserve">" </w:instrText>
      </w: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一、适用对象........................................................................................1</w:t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fldChar w:fldCharType="end"/>
      </w:r>
      <w:r>
        <w:fldChar w:fldCharType="begin"/>
      </w:r>
      <w:r>
        <w:instrText xml:space="preserve"> HYPERLINK \l "课程性质"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二、课程性质........................................................................................1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"课程目标"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三、课程目标........................................................................................1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"（一）知识目标"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（一）知识目标....................................................................................1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"（二）技能目标"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（二）技能目标....................................................................................2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"（三）职业素养目标"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（三）职业素养目标.............................................................................2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"四、课程设计"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四、课程设计........................................................................................</w:t>
      </w:r>
      <w:r>
        <w:rPr>
          <w:rStyle w:val="16"/>
          <w:rFonts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2</w:t>
      </w:r>
      <w:r>
        <w:rPr>
          <w:rStyle w:val="16"/>
          <w:rFonts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"五、学时安排"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五、学时安排........................................................................................</w:t>
      </w:r>
      <w:r>
        <w:rPr>
          <w:rStyle w:val="16"/>
          <w:rFonts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3</w:t>
      </w:r>
      <w:r>
        <w:rPr>
          <w:rStyle w:val="16"/>
          <w:rFonts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Style w:val="16"/>
          <w:rFonts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</w:pP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fldChar w:fldCharType="begin"/>
      </w: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instrText xml:space="preserve">HYPERLINK  \l "</w:instrText>
      </w:r>
      <w:r>
        <w:rPr>
          <w:rFonts w:hint="eastAsia" w:ascii="Calibri" w:hAnsi="Calibri" w:cs="Times New Roman"/>
          <w:b/>
          <w:kern w:val="2"/>
          <w:sz w:val="28"/>
          <w:szCs w:val="24"/>
          <w:lang w:val="en-US" w:bidi="ar-SA"/>
        </w:rPr>
        <w:instrText xml:space="preserve">六、课程内容和要求</w:instrText>
      </w: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instrText xml:space="preserve">"</w:instrText>
      </w: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六、课程内容和要求............................................................................4</w:t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rPr>
          <w:rFonts w:ascii="Calibri" w:hAnsi="Calibri" w:cs="Times New Roman"/>
          <w:b/>
          <w:kern w:val="2"/>
          <w:sz w:val="28"/>
          <w:szCs w:val="24"/>
          <w:lang w:val="en-US" w:bidi="ar-SA"/>
        </w:rPr>
        <w:fldChar w:fldCharType="end"/>
      </w:r>
      <w:r>
        <w:fldChar w:fldCharType="begin"/>
      </w:r>
      <w:r>
        <w:instrText xml:space="preserve"> HYPERLINK \l "七、资源开发和利用"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七、资源开发和利用............................................................................9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"八、教学建议"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八、教学建议......................................................................................10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600" w:lineRule="auto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  <w:r>
        <w:fldChar w:fldCharType="begin"/>
      </w:r>
      <w:r>
        <w:instrText xml:space="preserve"> HYPERLINK \l "九、教学评价" </w:instrText>
      </w:r>
      <w:r>
        <w:fldChar w:fldCharType="separate"/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t>九、教学评价......................................................................................11</w:t>
      </w:r>
      <w:r>
        <w:rPr>
          <w:rStyle w:val="16"/>
          <w:rFonts w:hint="eastAsia" w:ascii="Calibri" w:hAnsi="Calibri" w:cs="Times New Roman"/>
          <w:b/>
          <w:color w:val="auto"/>
          <w:kern w:val="2"/>
          <w:sz w:val="28"/>
          <w:szCs w:val="24"/>
          <w:u w:val="none"/>
          <w:lang w:val="en-US" w:bidi="ar-SA"/>
        </w:rPr>
        <w:fldChar w:fldCharType="end"/>
      </w:r>
    </w:p>
    <w:p>
      <w:pPr>
        <w:tabs>
          <w:tab w:val="right" w:leader="dot" w:pos="10549"/>
        </w:tabs>
        <w:autoSpaceDE/>
        <w:autoSpaceDN/>
        <w:spacing w:line="469" w:lineRule="exact"/>
        <w:rPr>
          <w:rFonts w:ascii="Calibri" w:hAnsi="Calibri" w:cs="Times New Roman"/>
          <w:b/>
          <w:kern w:val="2"/>
          <w:sz w:val="28"/>
          <w:szCs w:val="24"/>
          <w:lang w:val="en-US" w:bidi="ar-SA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  <w:lang w:val="en-US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bookmarkStart w:id="2" w:name="适用对象"/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bookmarkStart w:id="3" w:name="一适用对象"/>
      <w:r>
        <w:rPr>
          <w:rFonts w:hint="eastAsia"/>
          <w:b/>
          <w:bCs/>
          <w:sz w:val="28"/>
          <w:szCs w:val="28"/>
        </w:rPr>
        <w:t>适用对象</w:t>
      </w:r>
      <w:bookmarkEnd w:id="3"/>
    </w:p>
    <w:bookmarkEnd w:id="2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本校护理、助产、中医护理专业。</w:t>
      </w:r>
    </w:p>
    <w:p>
      <w:pPr>
        <w:spacing w:line="360" w:lineRule="auto"/>
        <w:ind w:firstLine="562" w:firstLineChars="200"/>
        <w:rPr>
          <w:bCs/>
          <w:sz w:val="28"/>
          <w:szCs w:val="28"/>
        </w:rPr>
      </w:pPr>
      <w:bookmarkStart w:id="4" w:name="课程性质"/>
      <w:r>
        <w:rPr>
          <w:rFonts w:hint="eastAsia"/>
          <w:b/>
          <w:bCs/>
          <w:sz w:val="28"/>
          <w:szCs w:val="28"/>
        </w:rPr>
        <w:t>二、课程性质</w:t>
      </w:r>
    </w:p>
    <w:bookmarkEnd w:id="4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《健康评估》是中等卫生职业教育护理、助产、中医护理专业学生必修的专业核心课程，属于必修课，是护理基础课程与临床课程的桥梁学科。本课程应坚持以学生为主体，以岗位胜任为导向，结合国家执业护士资格考试的要求和内容，积极采用现代化多种教学手段开展教学工作。其主要内容包括健康史评估、常见症状评估、身体状况评估、心理与社会状况评估、辅助检查、护理资料分析与病历书写等。本课程的任务是培养学生以整体健康评估的思维模式，从服务对象的生理、心理、社会等方面收集病史，进行以人的健康为中心的护理评估，结合实验室和其他检查结果，根据评估对象实际情况对现存的或潜在的健康问题作出护理诊断，完成护理病历的书写，贴近临床护理评估工作流程和方法，培养和形成良好的职业素养，具备初步护理评估的能力，为学习临床各学科护理课程奠定良好的基础。本课程的先修课程包括《正常人体学基础》、《护理礼仪》等。同步和后续课程包括《护理学基础》、《人际沟通》、《职业道德与法律》和《心理与精神护理》等。</w:t>
      </w:r>
    </w:p>
    <w:p>
      <w:pPr>
        <w:spacing w:line="360" w:lineRule="auto"/>
        <w:rPr>
          <w:b/>
          <w:bCs/>
          <w:vanish/>
          <w:sz w:val="28"/>
          <w:szCs w:val="28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5" w:name="_Hlk51018139"/>
      <w:r>
        <w:rPr>
          <w:rFonts w:hint="eastAsia"/>
          <w:b/>
          <w:bCs/>
          <w:sz w:val="28"/>
          <w:szCs w:val="28"/>
        </w:rPr>
        <w:t>三、</w:t>
      </w:r>
      <w:bookmarkStart w:id="6" w:name="课程目标"/>
      <w:r>
        <w:rPr>
          <w:rFonts w:hint="eastAsia"/>
          <w:b/>
          <w:bCs/>
          <w:sz w:val="28"/>
          <w:szCs w:val="28"/>
        </w:rPr>
        <w:t>课程目标</w:t>
      </w:r>
      <w:bookmarkEnd w:id="6"/>
    </w:p>
    <w:bookmarkEnd w:id="5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通过本课程学习，学生掌握健康评估的基本理论知识和技能，具体达到下列要求：</w:t>
      </w:r>
      <w:bookmarkStart w:id="7" w:name="（一）知识目标"/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（一）</w:t>
      </w:r>
      <w:r>
        <w:rPr>
          <w:bCs/>
          <w:sz w:val="28"/>
          <w:szCs w:val="28"/>
        </w:rPr>
        <w:t>知识目标</w:t>
      </w:r>
    </w:p>
    <w:bookmarkEnd w:id="7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1.掌握健康史、身体评估的内容、方法及结果的临床意义。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2.掌握常用辅助检查的准备、正常参考值及异常结果的临床意义。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3.熟悉健康评估的主要内容及护理病历的书写。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4.了解健康评估的基本概念、心理与社会评估的目的。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bookmarkStart w:id="8" w:name="（二）技能目标"/>
      <w:r>
        <w:rPr>
          <w:rFonts w:hint="eastAsia"/>
          <w:bCs/>
          <w:sz w:val="28"/>
          <w:szCs w:val="28"/>
        </w:rPr>
        <w:t>（二）</w:t>
      </w:r>
      <w:r>
        <w:rPr>
          <w:bCs/>
          <w:sz w:val="28"/>
          <w:szCs w:val="28"/>
        </w:rPr>
        <w:t>技能目标</w:t>
      </w:r>
    </w:p>
    <w:bookmarkEnd w:id="8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1.熟练掌握健康史采集的方法与技巧，能全面正确收集护理对象的健康史资料。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2.熟练掌握身体状况评估的操作方法，能准确、全面、系统地进行身体评估。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3.熟练进行心电图操作并识别危重疾病的心电图。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4.学会为护理对象进行完整的健康评估，并能根据健康评估结果进行分析、综合、判断，完成护理病历，建立护理诊断思维。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bookmarkStart w:id="9" w:name="（三）职业素养目标"/>
      <w:r>
        <w:rPr>
          <w:rFonts w:hint="eastAsia"/>
          <w:bCs/>
          <w:sz w:val="28"/>
          <w:szCs w:val="28"/>
        </w:rPr>
        <w:t>（三）职业素养目标</w:t>
      </w:r>
    </w:p>
    <w:bookmarkEnd w:id="9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1.具有严谨求实、一丝不苟的</w:t>
      </w:r>
      <w:r>
        <w:rPr>
          <w:rFonts w:hint="eastAsia"/>
          <w:bCs/>
          <w:sz w:val="28"/>
          <w:szCs w:val="28"/>
          <w:lang w:val="en-US"/>
        </w:rPr>
        <w:t>劳动</w:t>
      </w:r>
      <w:r>
        <w:rPr>
          <w:bCs/>
          <w:sz w:val="28"/>
          <w:szCs w:val="28"/>
        </w:rPr>
        <w:t>工作态度。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2.具有良好护患沟通、交流技巧和服务意识，在健康评估工作中学会与人和谐相处、友好合作。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3.具有良好的护士职业素质、行为习惯</w:t>
      </w:r>
      <w:r>
        <w:rPr>
          <w:rFonts w:hint="eastAsia"/>
          <w:bCs/>
          <w:sz w:val="28"/>
          <w:szCs w:val="28"/>
        </w:rPr>
        <w:t>、</w:t>
      </w:r>
      <w:r>
        <w:rPr>
          <w:bCs/>
          <w:sz w:val="28"/>
          <w:szCs w:val="28"/>
        </w:rPr>
        <w:t>职业道德修养</w:t>
      </w:r>
      <w:r>
        <w:rPr>
          <w:rFonts w:hint="eastAsia"/>
          <w:bCs/>
          <w:sz w:val="28"/>
          <w:szCs w:val="28"/>
          <w:lang w:val="en-US"/>
        </w:rPr>
        <w:t>及奉献精神</w:t>
      </w:r>
      <w:r>
        <w:rPr>
          <w:bCs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4.培养高度的责任心、同情心和爱伤观念。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5.培养创新意识和团队精神，具有学习主动性和积极性，养成自觉学习与终身学习的习惯。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bookmarkStart w:id="10" w:name="四、课程设计"/>
      <w:r>
        <w:rPr>
          <w:rFonts w:hint="eastAsia"/>
          <w:b/>
          <w:bCs/>
          <w:sz w:val="28"/>
          <w:szCs w:val="28"/>
        </w:rPr>
        <w:t>四、</w:t>
      </w:r>
      <w:r>
        <w:rPr>
          <w:b/>
          <w:bCs/>
          <w:sz w:val="28"/>
          <w:szCs w:val="28"/>
        </w:rPr>
        <w:t>课程设计</w:t>
      </w:r>
    </w:p>
    <w:bookmarkEnd w:id="10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一）健康评估的课程设计依据临床护理岗位的工作任务、职业能力要求，强化理论、实践一体化，突出“学中做、做中学、做中教”的职业教育特色，力争做到与社会需求“零距离”，与岗位需要“零距离”，提高学生综合职业能力。编写内容遵循两岗（临床护理岗位、岗位证书考试）、“五性”（思想性、科学性、先进性、实用性、适用性）的原则，力争做到“三贴近”（贴近学生、贴近岗位、贴近社会），突出本专业的特色。</w:t>
      </w:r>
    </w:p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二）课程的设计根据临床护士典型工作任务，对健康评估课程及内容进行序化重组，设计出贴近临床实际工作流程的教学方案。课程内容结合本校实际教学、遵循健康评估教学规律及临床护理工作过程的特点，借助情景案例、标准化患者从入院到做出健康评估、确定护理诊断为主线，遵循学生“求知－感知－掌握－巩固－运用－评价</w:t>
      </w:r>
      <w:r>
        <w:rPr>
          <w:bCs/>
          <w:sz w:val="28"/>
          <w:szCs w:val="28"/>
        </w:rPr>
        <w:t>-升华”的认知规律、由易到难、由浅至深的原则，去除与《护理学基础》重复的“护理病历书写”、“护理诊断”，与《心理与精神护理》重复的“心理与社会状况评估”的理论内容，将教学内容归纳</w:t>
      </w:r>
      <w:r>
        <w:rPr>
          <w:rFonts w:hint="eastAsia"/>
          <w:bCs/>
          <w:sz w:val="28"/>
          <w:szCs w:val="28"/>
        </w:rPr>
        <w:t>四大项目，依次</w:t>
      </w:r>
      <w:r>
        <w:rPr>
          <w:bCs/>
          <w:sz w:val="28"/>
          <w:szCs w:val="28"/>
        </w:rPr>
        <w:t>为：头、颈部</w:t>
      </w:r>
      <w:r>
        <w:rPr>
          <w:rFonts w:hint="eastAsia"/>
          <w:bCs/>
          <w:sz w:val="28"/>
          <w:szCs w:val="28"/>
        </w:rPr>
        <w:t>健康</w:t>
      </w:r>
      <w:r>
        <w:rPr>
          <w:bCs/>
          <w:sz w:val="28"/>
          <w:szCs w:val="28"/>
        </w:rPr>
        <w:t>评估；胸、腹部</w:t>
      </w:r>
      <w:r>
        <w:rPr>
          <w:rFonts w:hint="eastAsia"/>
          <w:bCs/>
          <w:sz w:val="28"/>
          <w:szCs w:val="28"/>
        </w:rPr>
        <w:t>健康</w:t>
      </w:r>
      <w:r>
        <w:rPr>
          <w:bCs/>
          <w:sz w:val="28"/>
          <w:szCs w:val="28"/>
        </w:rPr>
        <w:t>评估；脊柱、四肢</w:t>
      </w:r>
      <w:r>
        <w:rPr>
          <w:rFonts w:hint="eastAsia"/>
          <w:bCs/>
          <w:sz w:val="28"/>
          <w:szCs w:val="28"/>
        </w:rPr>
        <w:t>、神经系统评估；辅助检查。重点培养学生自主学习和勇于临床实践的能力，培养学生的创新意识，提高学生发现问题、解决问题的能力和运用护理程序对护理对象实施整体护理的能力。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bookmarkStart w:id="11" w:name="五、学时安排"/>
      <w:r>
        <w:rPr>
          <w:rFonts w:hint="eastAsia"/>
          <w:b/>
          <w:bCs/>
          <w:sz w:val="28"/>
          <w:szCs w:val="28"/>
        </w:rPr>
        <w:t>五、学时安排</w:t>
      </w:r>
    </w:p>
    <w:bookmarkEnd w:id="11"/>
    <w:p>
      <w:pPr>
        <w:spacing w:line="360" w:lineRule="auto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按本校实际情况，学时安排为40学时（理论2</w:t>
      </w:r>
      <w:r>
        <w:rPr>
          <w:rFonts w:hint="eastAsia"/>
          <w:bCs/>
          <w:sz w:val="28"/>
          <w:szCs w:val="28"/>
          <w:lang w:val="en-US"/>
        </w:rPr>
        <w:t>0</w:t>
      </w:r>
      <w:r>
        <w:rPr>
          <w:rFonts w:hint="eastAsia"/>
          <w:bCs/>
          <w:sz w:val="28"/>
          <w:szCs w:val="28"/>
        </w:rPr>
        <w:t>，实践</w:t>
      </w:r>
      <w:r>
        <w:rPr>
          <w:rFonts w:hint="eastAsia"/>
          <w:bCs/>
          <w:sz w:val="28"/>
          <w:szCs w:val="28"/>
          <w:lang w:val="en-US"/>
        </w:rPr>
        <w:t>20</w:t>
      </w:r>
      <w:r>
        <w:rPr>
          <w:rFonts w:hint="eastAsia"/>
          <w:bCs/>
          <w:sz w:val="28"/>
          <w:szCs w:val="28"/>
        </w:rPr>
        <w:t>）。</w:t>
      </w:r>
    </w:p>
    <w:tbl>
      <w:tblPr>
        <w:tblStyle w:val="12"/>
        <w:tblW w:w="92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3921"/>
        <w:gridCol w:w="869"/>
        <w:gridCol w:w="70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9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具体授课内容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理论</w:t>
            </w:r>
          </w:p>
        </w:tc>
        <w:tc>
          <w:tcPr>
            <w:tcW w:w="7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实训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6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项目一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头、颈部</w:t>
            </w:r>
            <w:r>
              <w:rPr>
                <w:rFonts w:hint="eastAsia"/>
                <w:b/>
                <w:bCs/>
                <w:lang w:val="en-US"/>
              </w:rPr>
              <w:t>健康</w:t>
            </w:r>
            <w:r>
              <w:rPr>
                <w:rFonts w:hint="eastAsia"/>
                <w:b/>
                <w:bCs/>
              </w:rPr>
              <w:t>评估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任务1：头、颈部健康史采集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>
            <w:pPr>
              <w:ind w:firstLine="220" w:firstLineChars="10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（常见症状评估及问诊）</w:t>
            </w:r>
          </w:p>
        </w:tc>
        <w:tc>
          <w:tcPr>
            <w:tcW w:w="86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Align w:val="center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任务2：一般状态评估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r>
              <w:rPr>
                <w:rFonts w:hint="eastAsia"/>
                <w:lang w:val="en-US"/>
              </w:rPr>
              <w:t>任务3：</w:t>
            </w:r>
            <w:r>
              <w:t>头、颈部</w:t>
            </w:r>
            <w:r>
              <w:rPr>
                <w:rFonts w:hint="eastAsia"/>
              </w:rPr>
              <w:t>（含</w:t>
            </w:r>
            <w:r>
              <w:t>皮肤、浅表淋巴结</w:t>
            </w:r>
            <w:r>
              <w:rPr>
                <w:rFonts w:hint="eastAsia"/>
              </w:rPr>
              <w:t>）</w:t>
            </w:r>
            <w:r>
              <w:t>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rPr>
          <w:trHeight w:val="22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/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86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194310</wp:posOffset>
                      </wp:positionV>
                      <wp:extent cx="5842000" cy="240665"/>
                      <wp:effectExtent l="9525" t="9525" r="15875" b="1651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.7pt;margin-top:15.3pt;height:18.95pt;width:460pt;z-index:251659264;v-text-anchor:middle;mso-width-relative:page;mso-height-relative:page;" filled="f" stroked="t" coordsize="21600,21600" o:gfxdata="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/kSZNgAAAAJAQAADwAAAAAAAAABACAAAAAiAAAAZHJzL2Rvd25yZXYueG1sUEsBAhQA&#10;FAAAAAgAh07iQEKhKPVkAgAAvwQAAA4AAAAAAAAAAQAgAAAAJwEAAGRycy9lMm9Eb2MueG1sUEsF&#10;BgAAAAAGAAYAWQEAAP0FAAAAAA==&#10;">
                      <v:fill on="f" focussize="0,0"/>
                      <v:stroke weight="1.5pt" color="#FF0000 [3205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项目二：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胸、腹部</w:t>
            </w:r>
            <w:r>
              <w:rPr>
                <w:rFonts w:hint="eastAsia"/>
                <w:b/>
                <w:bCs/>
                <w:lang w:val="en-US"/>
              </w:rPr>
              <w:t>健康</w:t>
            </w:r>
            <w:r>
              <w:rPr>
                <w:rFonts w:hint="eastAsia"/>
                <w:b/>
                <w:bCs/>
              </w:rPr>
              <w:t>评估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lang w:val="en-US"/>
              </w:rPr>
              <w:t>任务1：</w:t>
            </w:r>
            <w:r>
              <w:rPr>
                <w:rFonts w:hint="eastAsia"/>
              </w:rPr>
              <w:t>胸、腹部</w:t>
            </w:r>
            <w:r>
              <w:rPr>
                <w:rFonts w:hint="eastAsia"/>
                <w:lang w:val="en-US"/>
              </w:rPr>
              <w:t>健康史采集（常见症状评估及问诊）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Merge w:val="continue"/>
            <w:vAlign w:val="center"/>
          </w:tcPr>
          <w:p>
            <w:pPr>
              <w:ind w:firstLine="442" w:firstLineChars="200"/>
              <w:rPr>
                <w:b/>
                <w:bCs/>
              </w:rPr>
            </w:pPr>
          </w:p>
        </w:tc>
        <w:tc>
          <w:tcPr>
            <w:tcW w:w="86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/>
              </w:rPr>
              <w:t>任务2：身体</w:t>
            </w:r>
            <w:r>
              <w:rPr>
                <w:rFonts w:hint="eastAsia"/>
              </w:rPr>
              <w:t>评估的基本方法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/>
              </w:rPr>
              <w:t>任务3：</w:t>
            </w:r>
            <w:r>
              <w:rPr>
                <w:rFonts w:hint="eastAsia"/>
              </w:rPr>
              <w:t>胸部体表、胸壁、胸廓和乳房评估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r>
              <w:rPr>
                <w:rFonts w:hint="eastAsia"/>
                <w:lang w:val="en-US"/>
              </w:rPr>
              <w:t>任务4：</w:t>
            </w:r>
            <w:r>
              <w:t>肺</w:t>
            </w:r>
            <w:r>
              <w:rPr>
                <w:rFonts w:hint="eastAsia"/>
              </w:rPr>
              <w:t>与胸膜评估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Merge w:val="continue"/>
            <w:vAlign w:val="center"/>
          </w:tcPr>
          <w:p/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21" w:type="dxa"/>
            <w:vMerge w:val="restar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任务5：</w:t>
            </w:r>
            <w:r>
              <w:t>心脏评估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2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任务6：</w:t>
            </w:r>
            <w:r>
              <w:rPr>
                <w:rFonts w:hint="eastAsia"/>
              </w:rPr>
              <w:t>腹部体表、视诊、听诊、叩诊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任务7：</w:t>
            </w:r>
            <w:r>
              <w:rPr>
                <w:rFonts w:hint="eastAsia"/>
              </w:rPr>
              <w:t>腹部触诊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lang w:val="en-US"/>
              </w:rPr>
              <w:t>任务8：</w:t>
            </w:r>
            <w:r>
              <w:t>胸、腹部</w:t>
            </w:r>
            <w:r>
              <w:rPr>
                <w:rFonts w:hint="eastAsia"/>
                <w:lang w:val="en-US"/>
              </w:rPr>
              <w:t>评估运用（常见护理、护理体检）</w:t>
            </w:r>
          </w:p>
        </w:tc>
        <w:tc>
          <w:tcPr>
            <w:tcW w:w="869" w:type="dxa"/>
          </w:tcPr>
          <w:p>
            <w:pPr>
              <w:jc w:val="center"/>
            </w:pPr>
          </w:p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86" w:type="dxa"/>
            <w:vMerge w:val="restart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项目三：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脊柱、四肢、神经系统评估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921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val="en-US"/>
              </w:rPr>
              <w:t>任务1：</w:t>
            </w:r>
            <w:r>
              <w:rPr>
                <w:sz w:val="21"/>
              </w:rPr>
              <w:t>脊柱、四肢症状</w:t>
            </w:r>
            <w:r>
              <w:rPr>
                <w:rFonts w:hint="eastAsia"/>
                <w:sz w:val="21"/>
              </w:rPr>
              <w:t>；</w:t>
            </w:r>
          </w:p>
          <w:p>
            <w:pPr>
              <w:ind w:firstLine="880" w:firstLineChars="400"/>
              <w:jc w:val="both"/>
            </w:pPr>
            <w:r>
              <w:rPr>
                <w:rFonts w:hint="eastAsia"/>
              </w:rPr>
              <w:t>脊柱、四肢、神经</w:t>
            </w:r>
            <w:r>
              <w:rPr>
                <w:rFonts w:hint="eastAsia"/>
                <w:lang w:val="en-US"/>
              </w:rPr>
              <w:t>功能</w:t>
            </w:r>
            <w:r>
              <w:rPr>
                <w:rFonts w:hint="eastAsia"/>
              </w:rPr>
              <w:t>问诊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lang w:val="en-US"/>
              </w:rPr>
              <w:t>任务2：</w:t>
            </w:r>
            <w:r>
              <w:rPr>
                <w:rFonts w:hint="eastAsia"/>
              </w:rPr>
              <w:t>脊柱、四肢、</w:t>
            </w:r>
            <w:r>
              <w:rPr>
                <w:rFonts w:hint="eastAsia"/>
                <w:lang w:val="en-US"/>
              </w:rPr>
              <w:t>肛门及直肠</w:t>
            </w:r>
            <w:r>
              <w:rPr>
                <w:rFonts w:hint="eastAsia"/>
              </w:rPr>
              <w:t>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restart"/>
            <w:vAlign w:val="center"/>
          </w:tcPr>
          <w:p>
            <w:r>
              <w:rPr>
                <w:rFonts w:hint="eastAsia"/>
                <w:lang w:val="en-US"/>
              </w:rPr>
              <w:t>任务3：</w:t>
            </w:r>
            <w:r>
              <w:rPr>
                <w:rFonts w:hint="eastAsia"/>
              </w:rPr>
              <w:t>神经</w:t>
            </w:r>
            <w:r>
              <w:rPr>
                <w:rFonts w:hint="eastAsia"/>
                <w:lang w:val="en-US"/>
              </w:rPr>
              <w:t>功能</w:t>
            </w:r>
            <w:r>
              <w:rPr>
                <w:rFonts w:hint="eastAsia"/>
              </w:rPr>
              <w:t>评估</w:t>
            </w:r>
          </w:p>
        </w:tc>
        <w:tc>
          <w:tcPr>
            <w:tcW w:w="869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Merge w:val="continue"/>
            <w:vAlign w:val="center"/>
          </w:tcPr>
          <w:p/>
        </w:tc>
        <w:tc>
          <w:tcPr>
            <w:tcW w:w="869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  <w:vAlign w:val="center"/>
          </w:tcPr>
          <w:p>
            <w:r>
              <w:rPr>
                <w:rFonts w:hint="eastAsia"/>
                <w:lang w:val="en-US"/>
              </w:rPr>
              <w:t>任务4：</w:t>
            </w:r>
            <w:r>
              <w:rPr>
                <w:rFonts w:hint="eastAsia"/>
              </w:rPr>
              <w:t>脊柱、四肢、神经</w:t>
            </w:r>
            <w:r>
              <w:rPr>
                <w:rFonts w:hint="eastAsia"/>
                <w:lang w:val="en-US"/>
              </w:rPr>
              <w:t>功能（</w:t>
            </w:r>
            <w:r>
              <w:rPr>
                <w:rFonts w:hint="eastAsia"/>
              </w:rPr>
              <w:t>护理问题、护理体检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869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Merge w:val="restart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项目四：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辅助检查</w:t>
            </w:r>
          </w:p>
        </w:tc>
        <w:tc>
          <w:tcPr>
            <w:tcW w:w="3921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任务1：</w:t>
            </w:r>
            <w:r>
              <w:rPr>
                <w:rFonts w:hint="eastAsia"/>
              </w:rPr>
              <w:t>实验室检查1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21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任务2：</w:t>
            </w:r>
            <w:r>
              <w:rPr>
                <w:rFonts w:hint="eastAsia"/>
              </w:rPr>
              <w:t>实验室检查2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21" w:type="dxa"/>
            <w:vAlign w:val="center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lang w:val="en-US"/>
              </w:rPr>
              <w:t>任务3：</w:t>
            </w:r>
            <w:r>
              <w:rPr>
                <w:rFonts w:hint="eastAsia"/>
              </w:rPr>
              <w:t>实验室检查</w:t>
            </w: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21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任务4：</w:t>
            </w:r>
            <w:r>
              <w:rPr>
                <w:rFonts w:hint="eastAsia"/>
              </w:rPr>
              <w:t>心电图检查1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21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lang w:val="en-US"/>
              </w:rPr>
              <w:t>任务5：</w:t>
            </w:r>
            <w:r>
              <w:rPr>
                <w:rFonts w:hint="eastAsia"/>
              </w:rPr>
              <w:t>心电图检查</w:t>
            </w: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21" w:type="dxa"/>
            <w:vAlign w:val="center"/>
          </w:tcPr>
          <w:p>
            <w:r>
              <w:rPr>
                <w:rFonts w:hint="eastAsia"/>
                <w:lang w:val="en-US"/>
              </w:rPr>
              <w:t>任务6：</w:t>
            </w:r>
            <w:r>
              <w:rPr>
                <w:rFonts w:hint="eastAsia"/>
              </w:rPr>
              <w:t>影像学检查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88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3921" w:type="dxa"/>
            <w:vAlign w:val="center"/>
          </w:tcPr>
          <w:p>
            <w:pPr>
              <w:ind w:firstLine="330" w:firstLineChars="150"/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40</w:t>
            </w:r>
          </w:p>
        </w:tc>
      </w:tr>
    </w:tbl>
    <w:p>
      <w:pPr>
        <w:rPr>
          <w:b/>
          <w:sz w:val="28"/>
          <w:szCs w:val="28"/>
        </w:rPr>
      </w:pPr>
      <w:bookmarkStart w:id="12" w:name="六、课程内容和要求"/>
      <w:r>
        <w:rPr>
          <w:rFonts w:hint="eastAsia"/>
          <w:b/>
          <w:sz w:val="28"/>
          <w:szCs w:val="28"/>
        </w:rPr>
        <w:t>六、课程内容和要求</w:t>
      </w:r>
    </w:p>
    <w:bookmarkEnd w:id="12"/>
    <w:tbl>
      <w:tblPr>
        <w:tblStyle w:val="23"/>
        <w:tblW w:w="9361" w:type="dxa"/>
        <w:tblInd w:w="-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229"/>
        <w:gridCol w:w="2744"/>
        <w:gridCol w:w="1559"/>
        <w:gridCol w:w="1353"/>
        <w:gridCol w:w="615"/>
        <w:gridCol w:w="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93" w:type="dxa"/>
            <w:vMerge w:val="restart"/>
          </w:tcPr>
          <w:p>
            <w:pPr>
              <w:pStyle w:val="24"/>
              <w:ind w:left="107"/>
              <w:jc w:val="center"/>
              <w:rPr>
                <w:sz w:val="21"/>
                <w:lang w:eastAsia="en-US"/>
              </w:rPr>
            </w:pPr>
          </w:p>
          <w:p>
            <w:pPr>
              <w:pStyle w:val="24"/>
              <w:ind w:left="107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教学项目</w:t>
            </w:r>
          </w:p>
        </w:tc>
        <w:tc>
          <w:tcPr>
            <w:tcW w:w="1229" w:type="dxa"/>
            <w:vMerge w:val="restart"/>
          </w:tcPr>
          <w:p>
            <w:pPr>
              <w:pStyle w:val="24"/>
              <w:spacing w:before="2"/>
              <w:jc w:val="center"/>
              <w:rPr>
                <w:b/>
                <w:sz w:val="19"/>
                <w:lang w:eastAsia="en-US"/>
              </w:rPr>
            </w:pPr>
          </w:p>
          <w:p>
            <w:pPr>
              <w:pStyle w:val="24"/>
              <w:ind w:left="107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教学任务</w:t>
            </w:r>
          </w:p>
        </w:tc>
        <w:tc>
          <w:tcPr>
            <w:tcW w:w="2744" w:type="dxa"/>
            <w:vMerge w:val="restart"/>
          </w:tcPr>
          <w:p>
            <w:pPr>
              <w:pStyle w:val="24"/>
              <w:spacing w:before="2"/>
              <w:jc w:val="center"/>
              <w:rPr>
                <w:b/>
                <w:sz w:val="19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教学内容</w:t>
            </w:r>
          </w:p>
        </w:tc>
        <w:tc>
          <w:tcPr>
            <w:tcW w:w="1559" w:type="dxa"/>
            <w:vMerge w:val="restart"/>
          </w:tcPr>
          <w:p>
            <w:pPr>
              <w:pStyle w:val="24"/>
              <w:spacing w:before="166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教学</w:t>
            </w:r>
          </w:p>
          <w:p>
            <w:pPr>
              <w:pStyle w:val="24"/>
              <w:spacing w:before="166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要求</w:t>
            </w:r>
          </w:p>
        </w:tc>
        <w:tc>
          <w:tcPr>
            <w:tcW w:w="1353" w:type="dxa"/>
            <w:vMerge w:val="restart"/>
          </w:tcPr>
          <w:p>
            <w:pPr>
              <w:pStyle w:val="24"/>
              <w:spacing w:before="166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教学活动</w:t>
            </w:r>
          </w:p>
          <w:p>
            <w:pPr>
              <w:pStyle w:val="24"/>
              <w:spacing w:before="166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参考</w:t>
            </w:r>
          </w:p>
        </w:tc>
        <w:tc>
          <w:tcPr>
            <w:tcW w:w="1283" w:type="dxa"/>
            <w:gridSpan w:val="2"/>
          </w:tcPr>
          <w:p>
            <w:pPr>
              <w:pStyle w:val="24"/>
              <w:spacing w:before="46"/>
              <w:ind w:right="417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</w:t>
            </w:r>
            <w:r>
              <w:rPr>
                <w:sz w:val="21"/>
                <w:lang w:val="en-US" w:eastAsia="en-US"/>
              </w:rPr>
              <w:t xml:space="preserve">   </w:t>
            </w:r>
            <w:r>
              <w:rPr>
                <w:rFonts w:hint="eastAsia"/>
                <w:sz w:val="21"/>
                <w:lang w:val="en-US" w:eastAsia="en-US"/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93" w:type="dxa"/>
            <w:vMerge w:val="continue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229" w:type="dxa"/>
            <w:vMerge w:val="continue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2744" w:type="dxa"/>
            <w:vMerge w:val="continue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3" w:type="dxa"/>
            <w:vMerge w:val="continue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615" w:type="dxa"/>
          </w:tcPr>
          <w:p>
            <w:pPr>
              <w:pStyle w:val="24"/>
              <w:spacing w:before="157"/>
              <w:ind w:left="115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理论</w:t>
            </w:r>
          </w:p>
        </w:tc>
        <w:tc>
          <w:tcPr>
            <w:tcW w:w="668" w:type="dxa"/>
          </w:tcPr>
          <w:p>
            <w:pPr>
              <w:pStyle w:val="24"/>
              <w:spacing w:before="157"/>
              <w:ind w:left="120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93" w:type="dxa"/>
            <w:tcBorders>
              <w:bottom w:val="single" w:color="000000" w:sz="4" w:space="0"/>
            </w:tcBorders>
          </w:tcPr>
          <w:p>
            <w:pPr>
              <w:pStyle w:val="24"/>
              <w:spacing w:line="250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50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50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50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前言</w:t>
            </w:r>
          </w:p>
        </w:tc>
        <w:tc>
          <w:tcPr>
            <w:tcW w:w="1229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绪论</w:t>
            </w:r>
          </w:p>
        </w:tc>
        <w:tc>
          <w:tcPr>
            <w:tcW w:w="2744" w:type="dxa"/>
            <w:tcBorders>
              <w:bottom w:val="single" w:color="000000" w:sz="4" w:space="0"/>
            </w:tcBorders>
          </w:tcPr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（一）绪论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1.健康评估的重要性和目的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2.健康评估的主要内容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3.健康评估的学习方法和要求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（二）健康史评估的方法和与注意事项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1.健康史评估的方法与技巧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2.健康史评估的注意事项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了解健康评估学习内容、方法及要求</w:t>
            </w: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53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自主学习</w:t>
            </w:r>
          </w:p>
        </w:tc>
        <w:tc>
          <w:tcPr>
            <w:tcW w:w="615" w:type="dxa"/>
            <w:tcBorders>
              <w:bottom w:val="single" w:color="000000" w:sz="4" w:space="0"/>
            </w:tcBorders>
          </w:tcPr>
          <w:p>
            <w:pPr>
              <w:pStyle w:val="24"/>
              <w:spacing w:before="157"/>
              <w:ind w:left="115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57"/>
              <w:ind w:left="115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57"/>
              <w:ind w:left="115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bottom w:val="single" w:color="000000" w:sz="4" w:space="0"/>
            </w:tcBorders>
          </w:tcPr>
          <w:p>
            <w:pPr>
              <w:pStyle w:val="24"/>
              <w:spacing w:before="157"/>
              <w:ind w:left="120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57"/>
              <w:ind w:left="120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57"/>
              <w:ind w:left="12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193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right="108"/>
              <w:jc w:val="both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项目一</w:t>
            </w:r>
          </w:p>
          <w:p>
            <w:pPr>
              <w:pStyle w:val="24"/>
              <w:spacing w:before="59" w:line="223" w:lineRule="exact"/>
              <w:ind w:left="115" w:right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头、颈部</w:t>
            </w:r>
          </w:p>
          <w:p>
            <w:pPr>
              <w:pStyle w:val="24"/>
              <w:spacing w:line="250" w:lineRule="exact"/>
              <w:ind w:left="115" w:right="108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健康</w:t>
            </w:r>
            <w:r>
              <w:rPr>
                <w:rFonts w:hint="eastAsia"/>
                <w:sz w:val="21"/>
                <w:szCs w:val="21"/>
                <w:lang w:eastAsia="en-US"/>
              </w:rPr>
              <w:t>评估</w:t>
            </w: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25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</w:t>
            </w:r>
          </w:p>
          <w:p>
            <w:pPr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头、颈部健康史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采集（</w:t>
            </w:r>
            <w:r>
              <w:rPr>
                <w:rFonts w:hint="eastAsia"/>
                <w:sz w:val="21"/>
                <w:szCs w:val="21"/>
                <w:lang w:eastAsia="en-US"/>
              </w:rPr>
              <w:t>常见症状评估及问诊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）</w:t>
            </w:r>
          </w:p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74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（一）健康史评估的内容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eastAsia="en-US"/>
              </w:rPr>
              <w:t>一般资料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szCs w:val="21"/>
                <w:lang w:eastAsia="en-US"/>
              </w:rPr>
              <w:t>主诉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</w:t>
            </w:r>
            <w:r>
              <w:rPr>
                <w:rFonts w:hint="eastAsia"/>
                <w:sz w:val="21"/>
                <w:szCs w:val="21"/>
                <w:lang w:eastAsia="en-US"/>
              </w:rPr>
              <w:t>现病史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4.</w:t>
            </w:r>
            <w:r>
              <w:rPr>
                <w:rFonts w:hint="eastAsia"/>
                <w:sz w:val="21"/>
                <w:szCs w:val="21"/>
                <w:lang w:eastAsia="en-US"/>
              </w:rPr>
              <w:t>既往健康史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5.</w:t>
            </w:r>
            <w:r>
              <w:rPr>
                <w:rFonts w:hint="eastAsia"/>
                <w:sz w:val="21"/>
                <w:szCs w:val="21"/>
                <w:lang w:eastAsia="en-US"/>
              </w:rPr>
              <w:t>用药史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6.</w:t>
            </w:r>
            <w:r>
              <w:rPr>
                <w:rFonts w:hint="eastAsia"/>
                <w:sz w:val="21"/>
                <w:szCs w:val="21"/>
                <w:lang w:eastAsia="en-US"/>
              </w:rPr>
              <w:t>生长发育史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7.</w:t>
            </w:r>
            <w:r>
              <w:rPr>
                <w:rFonts w:hint="eastAsia"/>
                <w:sz w:val="21"/>
                <w:szCs w:val="21"/>
                <w:lang w:eastAsia="en-US"/>
              </w:rPr>
              <w:t>婚姻生育史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8.</w:t>
            </w:r>
            <w:r>
              <w:rPr>
                <w:rFonts w:hint="eastAsia"/>
                <w:sz w:val="21"/>
                <w:szCs w:val="21"/>
                <w:lang w:eastAsia="en-US"/>
              </w:rPr>
              <w:t>家族史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9.</w:t>
            </w:r>
            <w:r>
              <w:rPr>
                <w:rFonts w:hint="eastAsia"/>
                <w:sz w:val="21"/>
                <w:szCs w:val="21"/>
                <w:lang w:eastAsia="en-US"/>
              </w:rPr>
              <w:t>心理社会状况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（二）头颈部常见症状评估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1.头痛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2.发热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（三）头颈部问诊</w:t>
            </w:r>
          </w:p>
        </w:tc>
        <w:tc>
          <w:tcPr>
            <w:tcW w:w="15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34" w:line="310" w:lineRule="atLeast"/>
              <w:ind w:right="33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1.了解健康史评估的内容；</w:t>
            </w:r>
          </w:p>
          <w:p>
            <w:pPr>
              <w:pStyle w:val="24"/>
              <w:spacing w:before="134" w:line="310" w:lineRule="atLeast"/>
              <w:ind w:right="33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2.熟悉头颈部常见症状评估；</w:t>
            </w:r>
          </w:p>
          <w:p>
            <w:pPr>
              <w:pStyle w:val="24"/>
              <w:spacing w:before="134" w:line="310" w:lineRule="atLeast"/>
              <w:ind w:right="33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 xml:space="preserve">3.掌握主诉定义及发热的临床特点；    </w:t>
            </w:r>
          </w:p>
          <w:p>
            <w:pPr>
              <w:pStyle w:val="24"/>
              <w:spacing w:before="16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4.学会头颈部健康评估问诊技能。</w:t>
            </w:r>
          </w:p>
        </w:tc>
        <w:tc>
          <w:tcPr>
            <w:tcW w:w="135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4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情境模拟</w:t>
            </w:r>
          </w:p>
          <w:p>
            <w:pPr>
              <w:pStyle w:val="24"/>
              <w:spacing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66" w:lineRule="exact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firstLine="210" w:firstLineChars="100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firstLine="210" w:firstLineChars="100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24"/>
              <w:spacing w:before="16" w:line="266" w:lineRule="exact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66" w:lineRule="exact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atLeast"/>
        </w:trPr>
        <w:tc>
          <w:tcPr>
            <w:tcW w:w="1193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7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2</w:t>
            </w:r>
            <w:r>
              <w:rPr>
                <w:rFonts w:hint="eastAsia"/>
                <w:sz w:val="21"/>
                <w:szCs w:val="21"/>
                <w:lang w:eastAsia="en-US"/>
              </w:rPr>
              <w:t xml:space="preserve"> </w:t>
            </w:r>
          </w:p>
          <w:p>
            <w:pPr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 xml:space="preserve"> 一般状态评估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（一）一般状态评估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1.生命体征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2.意识状态（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意识障碍</w:t>
            </w:r>
            <w:r>
              <w:rPr>
                <w:rFonts w:hint="eastAsia"/>
                <w:sz w:val="21"/>
                <w:szCs w:val="21"/>
                <w:lang w:eastAsia="en-US"/>
              </w:rPr>
              <w:t>）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3.发育与体型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4.面部与表情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5.营养状态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6.体位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7.步态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line="278" w:lineRule="auto"/>
              <w:ind w:right="338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1.了解发育与体型、营养状态、体位评估；</w:t>
            </w:r>
          </w:p>
          <w:p>
            <w:pPr>
              <w:pStyle w:val="24"/>
              <w:spacing w:line="278" w:lineRule="auto"/>
              <w:ind w:right="338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2.熟悉生命体征、步态评估；</w:t>
            </w:r>
          </w:p>
          <w:p>
            <w:pPr>
              <w:pStyle w:val="24"/>
              <w:spacing w:line="278" w:lineRule="auto"/>
              <w:ind w:right="33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3.掌握意识状态、面容与表情评估。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77"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77"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体验分享</w:t>
            </w:r>
          </w:p>
          <w:p>
            <w:pPr>
              <w:pStyle w:val="24"/>
              <w:spacing w:before="177"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177"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77" w:line="278" w:lineRule="auto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193" w:type="dxa"/>
            <w:vMerge w:val="continue"/>
            <w:tcBorders>
              <w:top w:val="single" w:color="000000" w:sz="6" w:space="0"/>
              <w:bottom w:val="single" w:color="000000" w:themeColor="text1" w:sz="4" w:space="0"/>
              <w:right w:val="single" w:color="000000" w:sz="6" w:space="0"/>
            </w:tcBorders>
          </w:tcPr>
          <w:p>
            <w:pPr>
              <w:pStyle w:val="24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themeColor="text1" w:sz="4" w:space="0"/>
              <w:right w:val="single" w:color="000000" w:sz="6" w:space="0"/>
            </w:tcBorders>
          </w:tcPr>
          <w:p>
            <w:pPr>
              <w:pStyle w:val="24"/>
              <w:spacing w:line="247" w:lineRule="exact"/>
              <w:ind w:left="107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47" w:lineRule="exact"/>
              <w:ind w:left="107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3</w:t>
            </w:r>
            <w:r>
              <w:rPr>
                <w:rFonts w:hint="eastAsia"/>
                <w:sz w:val="21"/>
                <w:szCs w:val="21"/>
                <w:lang w:eastAsia="en-US"/>
              </w:rPr>
              <w:t xml:space="preserve"> </w:t>
            </w:r>
          </w:p>
          <w:p>
            <w:pPr>
              <w:pStyle w:val="24"/>
              <w:spacing w:line="247" w:lineRule="exact"/>
              <w:ind w:left="107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头、颈部（含皮肤、浅表淋巴结）评估</w:t>
            </w:r>
          </w:p>
          <w:p>
            <w:pPr>
              <w:pStyle w:val="24"/>
              <w:spacing w:before="43"/>
              <w:ind w:left="107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（一）皮肤、浅表淋巴结评估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eastAsia="en-US"/>
              </w:rPr>
              <w:t>皮肤黏膜评估</w:t>
            </w:r>
          </w:p>
          <w:p>
            <w:pPr>
              <w:pStyle w:val="24"/>
              <w:tabs>
                <w:tab w:val="left" w:pos="26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szCs w:val="21"/>
                <w:lang w:eastAsia="en-US"/>
              </w:rPr>
              <w:t>浅表淋巴结评估</w:t>
            </w:r>
          </w:p>
          <w:p>
            <w:pPr>
              <w:pStyle w:val="24"/>
              <w:spacing w:before="43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（二）头面部及颈部评估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1.头部评估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2.面部评估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3.颈部评估</w:t>
            </w:r>
          </w:p>
          <w:p>
            <w:pPr>
              <w:pStyle w:val="24"/>
              <w:tabs>
                <w:tab w:val="left" w:pos="268"/>
              </w:tabs>
              <w:spacing w:before="123"/>
              <w:ind w:left="107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5"/>
                <w:sz w:val="21"/>
                <w:szCs w:val="21"/>
                <w:lang w:eastAsia="en-US"/>
              </w:rPr>
              <w:t>（</w:t>
            </w:r>
            <w:r>
              <w:rPr>
                <w:rFonts w:hint="eastAsia"/>
                <w:w w:val="95"/>
                <w:sz w:val="21"/>
                <w:szCs w:val="21"/>
                <w:lang w:val="en-US" w:eastAsia="en-US"/>
              </w:rPr>
              <w:t>三</w:t>
            </w:r>
            <w:r>
              <w:rPr>
                <w:rFonts w:hint="eastAsia"/>
                <w:w w:val="95"/>
                <w:sz w:val="21"/>
                <w:szCs w:val="21"/>
                <w:lang w:eastAsia="en-US"/>
              </w:rPr>
              <w:t>）评估运用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33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1.了解头面部评估；</w:t>
            </w:r>
          </w:p>
          <w:p>
            <w:pPr>
              <w:pStyle w:val="24"/>
              <w:spacing w:before="133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2.熟悉颈部和浅表淋巴结评估；</w:t>
            </w:r>
          </w:p>
          <w:p>
            <w:pPr>
              <w:pStyle w:val="24"/>
              <w:spacing w:before="133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3.掌握皮肤黏膜评估；</w:t>
            </w:r>
          </w:p>
          <w:p>
            <w:pPr>
              <w:pStyle w:val="24"/>
              <w:spacing w:before="133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4.学会头、颈部（含皮肤、浅表淋巴结）评估操作方法。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54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54" w:line="224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情境模拟</w:t>
            </w:r>
          </w:p>
          <w:p>
            <w:pPr>
              <w:pStyle w:val="24"/>
              <w:spacing w:before="58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58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3" w:line="310" w:lineRule="atLeast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3" w:line="310" w:lineRule="atLeast"/>
              <w:ind w:right="321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55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1193" w:type="dxa"/>
            <w:vMerge w:val="restart"/>
            <w:tcBorders>
              <w:top w:val="single" w:color="000000" w:themeColor="text1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5956300" cy="1868805"/>
                      <wp:effectExtent l="9525" t="9525" r="15875" b="2667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6300" cy="18688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05pt;margin-top:0.85pt;height:147.15pt;width:469pt;z-index:251660288;v-text-anchor:middle;mso-width-relative:page;mso-height-relative:page;" filled="f" stroked="t" coordsize="21600,21600" o:gfxdata="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JGUc1QAAAAcBAAAPAAAAAAAAAAEAIAAAACIAAABkcnMvZG93bnJldi54bWxQSwECFAAU&#10;AAAACACHTuJAO3gxA2YCAADCBAAADgAAAAAAAAABACAAAAAkAQAAZHJzL2Uyb0RvYy54bWxQSwUG&#10;AAAAAAYABgBZAQAA/AUAAAAA&#10;">
                      <v:fill on="f" focussize="0,0"/>
                      <v:stroke weight="1.5pt" color="#FF0000 [3205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Cs/>
                <w:sz w:val="21"/>
                <w:szCs w:val="21"/>
                <w:lang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项目二</w:t>
            </w: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胸、腹部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健康</w:t>
            </w:r>
            <w:r>
              <w:rPr>
                <w:rFonts w:hint="eastAsia"/>
                <w:bCs/>
                <w:sz w:val="21"/>
                <w:szCs w:val="21"/>
                <w:lang w:eastAsia="en-US"/>
              </w:rPr>
              <w:t>评估</w:t>
            </w:r>
          </w:p>
          <w:p>
            <w:pPr>
              <w:pStyle w:val="24"/>
              <w:spacing w:before="24"/>
              <w:ind w:left="107"/>
              <w:jc w:val="center"/>
              <w:rPr>
                <w:bCs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8" w:lineRule="exact"/>
              <w:ind w:left="107"/>
              <w:jc w:val="center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themeColor="text1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4"/>
              <w:spacing w:line="247" w:lineRule="exact"/>
              <w:ind w:left="107"/>
              <w:jc w:val="both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47" w:lineRule="exact"/>
              <w:ind w:left="107"/>
              <w:jc w:val="both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1</w:t>
            </w:r>
          </w:p>
          <w:p>
            <w:pPr>
              <w:pStyle w:val="24"/>
              <w:spacing w:line="247" w:lineRule="exact"/>
              <w:ind w:left="107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胸、腹部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健康史采集（</w:t>
            </w:r>
            <w:r>
              <w:rPr>
                <w:rFonts w:hint="eastAsia"/>
                <w:sz w:val="21"/>
                <w:szCs w:val="21"/>
                <w:lang w:eastAsia="en-US"/>
              </w:rPr>
              <w:t>常见症状评估及问诊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）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（一）胸腹部常见症状评估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1.咳嗽、咳痰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2.呼吸困难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3.胸痛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4.腹痛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5.呕血与便血</w:t>
            </w:r>
          </w:p>
          <w:p>
            <w:pPr>
              <w:pStyle w:val="24"/>
              <w:tabs>
                <w:tab w:val="left" w:pos="268"/>
              </w:tabs>
              <w:spacing w:line="269" w:lineRule="exact"/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（二）胸、腹部问诊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1.熟悉呕血与便血、腹痛、胸痛症状评估；</w:t>
            </w:r>
          </w:p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2.掌握咳嗽、咳痰，呼吸困难症状评估；</w:t>
            </w:r>
          </w:p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3.学会胸、腹部症状问诊技能。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体验分享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情境模拟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193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line="225" w:lineRule="exact"/>
              <w:ind w:left="10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</w:t>
            </w:r>
          </w:p>
          <w:p>
            <w:pPr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身体</w:t>
            </w:r>
            <w:r>
              <w:rPr>
                <w:rFonts w:hint="eastAsia"/>
                <w:sz w:val="21"/>
                <w:szCs w:val="21"/>
                <w:lang w:eastAsia="en-US"/>
              </w:rPr>
              <w:t>评估的基本方法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numPr>
                <w:ilvl w:val="0"/>
                <w:numId w:val="1"/>
              </w:numPr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评估注意事项</w:t>
            </w:r>
          </w:p>
          <w:p>
            <w:pPr>
              <w:pStyle w:val="24"/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（二）评估基本方法</w:t>
            </w:r>
          </w:p>
          <w:p>
            <w:pPr>
              <w:pStyle w:val="24"/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1.视诊</w:t>
            </w:r>
          </w:p>
          <w:p>
            <w:pPr>
              <w:pStyle w:val="24"/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2.听诊</w:t>
            </w:r>
          </w:p>
          <w:p>
            <w:pPr>
              <w:pStyle w:val="24"/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3.嗅诊</w:t>
            </w:r>
          </w:p>
          <w:p>
            <w:pPr>
              <w:pStyle w:val="24"/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4.叩诊</w:t>
            </w:r>
          </w:p>
          <w:p>
            <w:pPr>
              <w:pStyle w:val="24"/>
              <w:tabs>
                <w:tab w:val="left" w:pos="268"/>
              </w:tabs>
              <w:ind w:left="107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5.触诊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1.了解身体评估注意事项；</w:t>
            </w:r>
          </w:p>
          <w:p>
            <w:pPr>
              <w:pStyle w:val="24"/>
              <w:spacing w:before="21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2.熟悉视诊、听诊和嗅诊方法；</w:t>
            </w:r>
          </w:p>
          <w:p>
            <w:pPr>
              <w:pStyle w:val="24"/>
              <w:spacing w:before="21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3.掌握触诊（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浅部触诊、深压触诊</w:t>
            </w:r>
            <w:r>
              <w:rPr>
                <w:rFonts w:hint="eastAsia"/>
                <w:sz w:val="21"/>
                <w:szCs w:val="21"/>
                <w:lang w:eastAsia="en-US"/>
              </w:rPr>
              <w:t>）和叩诊（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间接叩诊</w:t>
            </w:r>
            <w:r>
              <w:rPr>
                <w:rFonts w:hint="eastAsia"/>
                <w:sz w:val="21"/>
                <w:szCs w:val="21"/>
                <w:lang w:eastAsia="en-US"/>
              </w:rPr>
              <w:t>）方法。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任务驱动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情境模拟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体验分享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演示操作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193" w:type="dxa"/>
            <w:vMerge w:val="continue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line="225" w:lineRule="exact"/>
              <w:ind w:left="10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</w:t>
            </w:r>
          </w:p>
          <w:p>
            <w:pPr>
              <w:jc w:val="both"/>
              <w:rPr>
                <w:b/>
                <w:bCs/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胸部体表、胸壁、胸廓和乳房评估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（一）胸部体表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1.体表骨性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标志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2.体表划线与分区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3.体表凹陷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（二）胸壁评估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1.压痛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2.静脉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3.皮下气肿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（三）胸廓评估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（四）乳房评估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1.视诊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2.触诊</w:t>
            </w:r>
          </w:p>
          <w:p>
            <w:pPr>
              <w:pStyle w:val="24"/>
              <w:spacing w:before="55" w:line="266" w:lineRule="exact"/>
              <w:ind w:right="302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（五）评估运用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before="21" w:line="266" w:lineRule="exact"/>
              <w:ind w:left="113" w:righ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6" w:lineRule="exact"/>
              <w:ind w:left="113" w:right="108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1.了解胸部体表内容；</w:t>
            </w:r>
          </w:p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2.熟悉胸壁评估和胸廓评估内容；</w:t>
            </w:r>
          </w:p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3.掌握乳房评估内容；</w:t>
            </w:r>
          </w:p>
          <w:p>
            <w:pPr>
              <w:pStyle w:val="24"/>
              <w:spacing w:before="21" w:line="266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4.学会胸部体表、胸壁、胸廓和乳房评估方法。</w:t>
            </w:r>
          </w:p>
          <w:p>
            <w:pPr>
              <w:pStyle w:val="24"/>
              <w:spacing w:before="21" w:line="276" w:lineRule="auto"/>
              <w:ind w:right="108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before="55" w:line="266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5" w:line="266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体验分享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情境模拟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7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 xml:space="preserve">   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36" w:lineRule="exact"/>
              <w:ind w:left="5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193" w:type="dxa"/>
            <w:vMerge w:val="continue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24"/>
              <w:spacing w:line="225" w:lineRule="exact"/>
              <w:ind w:left="10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46" w:lineRule="exact"/>
              <w:ind w:left="24" w:right="19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4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肺与胸膜评估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（一）肺与胸膜评估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1.视诊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2.触诊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3.叩诊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4.听诊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（二）评估运用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1.了解肺与胸膜视诊；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2.熟悉肺与胸膜触诊和叩诊；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3.掌握肺与胸膜听诊；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4.学会肺与胸膜评估方法。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line="204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ind w:left="108" w:firstLine="207" w:firstLineChars="100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93" w:type="dxa"/>
            <w:vMerge w:val="continue"/>
            <w:tcBorders>
              <w:right w:val="single" w:color="000000" w:sz="4" w:space="0"/>
            </w:tcBorders>
          </w:tcPr>
          <w:p>
            <w:pPr>
              <w:pStyle w:val="24"/>
              <w:spacing w:line="225" w:lineRule="exact"/>
              <w:ind w:left="107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9"/>
              <w:ind w:left="26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任务5</w:t>
            </w:r>
          </w:p>
          <w:p>
            <w:pPr>
              <w:pStyle w:val="24"/>
              <w:spacing w:before="19"/>
              <w:ind w:left="26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心脏评估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（一）心脏评估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1.心脏视诊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szCs w:val="21"/>
                <w:lang w:eastAsia="en-US"/>
              </w:rPr>
              <w:t>心脏触诊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</w:t>
            </w:r>
            <w:r>
              <w:rPr>
                <w:rFonts w:hint="eastAsia"/>
                <w:sz w:val="21"/>
                <w:szCs w:val="21"/>
                <w:lang w:eastAsia="en-US"/>
              </w:rPr>
              <w:t>心脏叩诊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4.</w:t>
            </w:r>
            <w:r>
              <w:rPr>
                <w:rFonts w:hint="eastAsia"/>
                <w:sz w:val="21"/>
                <w:szCs w:val="21"/>
                <w:lang w:eastAsia="en-US"/>
              </w:rPr>
              <w:t>心脏听诊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5.</w:t>
            </w:r>
            <w:r>
              <w:rPr>
                <w:rFonts w:hint="eastAsia"/>
                <w:sz w:val="21"/>
                <w:szCs w:val="21"/>
                <w:lang w:eastAsia="en-US"/>
              </w:rPr>
              <w:t>血管评估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（二）评估运用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tabs>
                <w:tab w:val="left" w:pos="330"/>
                <w:tab w:val="center" w:pos="554"/>
              </w:tabs>
              <w:spacing w:before="21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1.了解心脏视诊、叩诊和血管评估；</w:t>
            </w:r>
          </w:p>
          <w:p>
            <w:pPr>
              <w:pStyle w:val="24"/>
              <w:tabs>
                <w:tab w:val="left" w:pos="330"/>
                <w:tab w:val="center" w:pos="554"/>
              </w:tabs>
              <w:spacing w:before="21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2.熟悉心脏触诊；</w:t>
            </w:r>
          </w:p>
          <w:p>
            <w:pPr>
              <w:pStyle w:val="24"/>
              <w:spacing w:before="46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3.掌握心脏听诊；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4.学会心脏评估方法。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55" w:line="266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19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90" w:line="223" w:lineRule="exact"/>
              <w:ind w:left="60" w:right="19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0" w:line="223" w:lineRule="exact"/>
              <w:ind w:left="60" w:right="19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0" w:line="223" w:lineRule="exact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任务6</w:t>
            </w:r>
          </w:p>
          <w:p>
            <w:pPr>
              <w:pStyle w:val="24"/>
              <w:spacing w:before="90" w:line="223" w:lineRule="exact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腹部体表、视诊、听诊、叩诊</w:t>
            </w:r>
          </w:p>
          <w:p>
            <w:pPr>
              <w:rPr>
                <w:lang w:eastAsia="en-US"/>
              </w:rPr>
            </w:pP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（一）腹部体表、视诊、听诊、叩诊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1.腹部的体表标志及分区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2.腹部视诊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腹部听诊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腹部叩诊</w:t>
            </w:r>
          </w:p>
          <w:p>
            <w:pPr>
              <w:rPr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（二）评估运用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1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</w:t>
            </w:r>
            <w:r>
              <w:rPr>
                <w:rFonts w:hint="eastAsia"/>
                <w:sz w:val="21"/>
                <w:szCs w:val="21"/>
                <w:lang w:eastAsia="en-US"/>
              </w:rPr>
              <w:t>了解腹部的体表标志及分区；</w:t>
            </w:r>
          </w:p>
          <w:p>
            <w:pPr>
              <w:pStyle w:val="24"/>
              <w:spacing w:line="215" w:lineRule="exact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2.熟悉腹部视诊和叩诊内容；</w:t>
            </w:r>
          </w:p>
          <w:p>
            <w:pPr>
              <w:pStyle w:val="24"/>
              <w:spacing w:before="5" w:line="310" w:lineRule="atLeast"/>
              <w:ind w:right="33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</w:t>
            </w:r>
            <w:r>
              <w:rPr>
                <w:rFonts w:hint="eastAsia"/>
                <w:sz w:val="21"/>
                <w:szCs w:val="21"/>
                <w:lang w:eastAsia="en-US"/>
              </w:rPr>
              <w:t>掌握腹部视诊内容。</w:t>
            </w:r>
          </w:p>
          <w:p>
            <w:pPr>
              <w:pStyle w:val="24"/>
              <w:spacing w:before="90" w:line="223" w:lineRule="exact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4.学会腹部体表、视诊、听诊、叩诊操作方法。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体验分享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情境模拟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rPr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rPr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rPr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119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line="247" w:lineRule="exact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47" w:lineRule="exact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line="247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任务7</w:t>
            </w:r>
          </w:p>
          <w:p>
            <w:pPr>
              <w:pStyle w:val="24"/>
              <w:spacing w:line="247" w:lineRule="exact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腹部触诊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（一）腹部触诊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1.腹壁紧张度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2.压痛与反跳痛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3.脏器触诊</w:t>
            </w:r>
          </w:p>
          <w:p>
            <w:pPr>
              <w:pStyle w:val="24"/>
              <w:spacing w:before="21" w:line="278" w:lineRule="auto"/>
              <w:ind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4.注意事项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（二）评估运用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0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1.了解腹部触诊注意事项；</w:t>
            </w:r>
          </w:p>
          <w:p>
            <w:pPr>
              <w:pStyle w:val="24"/>
              <w:spacing w:before="20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2.熟悉腹壁紧张度、腹部脏器触诊；</w:t>
            </w:r>
          </w:p>
          <w:p>
            <w:pPr>
              <w:pStyle w:val="24"/>
              <w:spacing w:before="20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3.掌握腹部压痛与反跳痛评估；</w:t>
            </w:r>
          </w:p>
          <w:p>
            <w:pPr>
              <w:pStyle w:val="24"/>
              <w:spacing w:before="20" w:line="276" w:lineRule="auto"/>
              <w:ind w:righ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4.学会腹部触诊评估方法。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演示操作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5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 xml:space="preserve"> 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spacing w:before="5"/>
              <w:rPr>
                <w:b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ind w:left="108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  <w:p>
            <w:pPr>
              <w:pStyle w:val="24"/>
              <w:ind w:left="108"/>
              <w:rPr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1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任务8</w:t>
            </w:r>
          </w:p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胸、腹部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评估运用（</w:t>
            </w:r>
            <w:r>
              <w:rPr>
                <w:rFonts w:hint="eastAsia"/>
                <w:sz w:val="21"/>
                <w:szCs w:val="21"/>
                <w:lang w:eastAsia="en-US"/>
              </w:rPr>
              <w:t>常见护理问题、护理体检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）</w:t>
            </w:r>
            <w:r>
              <w:rPr>
                <w:rFonts w:hint="eastAsia"/>
                <w:sz w:val="21"/>
                <w:szCs w:val="21"/>
                <w:lang w:eastAsia="en-US"/>
              </w:rPr>
              <w:t xml:space="preserve">  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（一）胸、腹部常见护理问题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（二）胸、腹部护理体检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结合情景案例，运用所学知识进行胸、腹部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评估（</w:t>
            </w:r>
            <w:r>
              <w:rPr>
                <w:rFonts w:hint="eastAsia"/>
                <w:sz w:val="21"/>
                <w:szCs w:val="21"/>
                <w:lang w:eastAsia="en-US"/>
              </w:rPr>
              <w:t>常见护理问题、护理体检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）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99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24"/>
              <w:spacing w:before="99"/>
              <w:ind w:left="108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193" w:type="dxa"/>
            <w:vMerge w:val="restart"/>
            <w:tcBorders>
              <w:top w:val="single" w:color="000000" w:sz="4" w:space="0"/>
              <w:right w:val="single" w:color="000000" w:sz="6" w:space="0"/>
            </w:tcBorders>
          </w:tcPr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项目三</w:t>
            </w:r>
          </w:p>
          <w:p>
            <w:pPr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脊柱、四肢、神经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系统健康</w:t>
            </w:r>
            <w:r>
              <w:rPr>
                <w:rFonts w:hint="eastAsia"/>
                <w:sz w:val="21"/>
                <w:szCs w:val="21"/>
                <w:lang w:eastAsia="en-US"/>
              </w:rPr>
              <w:t>评估</w:t>
            </w:r>
          </w:p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任务1</w:t>
            </w:r>
          </w:p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脊柱、四肢症状；脊柱、四肢、神经系统问诊</w:t>
            </w:r>
          </w:p>
        </w:tc>
        <w:tc>
          <w:tcPr>
            <w:tcW w:w="2744" w:type="dxa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</w:tcPr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一</w:t>
            </w:r>
            <w:r>
              <w:rPr>
                <w:rFonts w:hint="eastAsia"/>
                <w:sz w:val="21"/>
                <w:szCs w:val="21"/>
                <w:lang w:eastAsia="en-US"/>
              </w:rPr>
              <w:t>）脊柱、四肢症状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1.发绀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szCs w:val="21"/>
                <w:lang w:eastAsia="en-US"/>
              </w:rPr>
              <w:t>水肿</w:t>
            </w:r>
          </w:p>
          <w:p>
            <w:pPr>
              <w:pStyle w:val="24"/>
              <w:spacing w:before="21" w:line="278" w:lineRule="auto"/>
              <w:ind w:left="108" w:right="96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（二）脊柱、四肢、神经系统问诊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24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1.熟悉</w:t>
            </w:r>
            <w:r>
              <w:rPr>
                <w:rFonts w:hint="eastAsia"/>
                <w:sz w:val="21"/>
                <w:szCs w:val="21"/>
                <w:lang w:eastAsia="en-US"/>
              </w:rPr>
              <w:t>脊柱、四肢症状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2.学会</w:t>
            </w:r>
            <w:r>
              <w:rPr>
                <w:rFonts w:hint="eastAsia"/>
                <w:sz w:val="21"/>
                <w:szCs w:val="21"/>
                <w:lang w:eastAsia="en-US"/>
              </w:rPr>
              <w:t>脊柱、四肢、神经系统问诊。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</w:tc>
        <w:tc>
          <w:tcPr>
            <w:tcW w:w="61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  <w:p>
            <w:pPr>
              <w:pStyle w:val="24"/>
              <w:spacing w:before="99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1193" w:type="dxa"/>
            <w:vMerge w:val="continue"/>
          </w:tcPr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任务2</w:t>
            </w:r>
          </w:p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脊柱、四肢、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肛门及直肠</w:t>
            </w:r>
            <w:r>
              <w:rPr>
                <w:rFonts w:hint="eastAsia"/>
                <w:sz w:val="21"/>
                <w:szCs w:val="21"/>
                <w:lang w:eastAsia="en-US"/>
              </w:rPr>
              <w:t>评估</w:t>
            </w:r>
          </w:p>
        </w:tc>
        <w:tc>
          <w:tcPr>
            <w:tcW w:w="2744" w:type="dxa"/>
          </w:tcPr>
          <w:p>
            <w:pPr>
              <w:pStyle w:val="24"/>
              <w:spacing w:before="20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（一）脊柱及四肢评估</w:t>
            </w:r>
          </w:p>
          <w:p>
            <w:pPr>
              <w:pStyle w:val="24"/>
              <w:tabs>
                <w:tab w:val="left" w:pos="68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eastAsia="en-US"/>
              </w:rPr>
              <w:t>脊柱评估</w:t>
            </w:r>
          </w:p>
          <w:p>
            <w:pPr>
              <w:pStyle w:val="24"/>
              <w:tabs>
                <w:tab w:val="left" w:pos="68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szCs w:val="21"/>
                <w:lang w:eastAsia="en-US"/>
              </w:rPr>
              <w:t>四肢及关节评估</w:t>
            </w:r>
          </w:p>
          <w:p>
            <w:pPr>
              <w:pStyle w:val="24"/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（二）肛门及直肠评估</w:t>
            </w:r>
          </w:p>
          <w:p>
            <w:pPr>
              <w:pStyle w:val="24"/>
              <w:tabs>
                <w:tab w:val="left" w:pos="688"/>
              </w:tabs>
              <w:spacing w:before="43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eastAsia="en-US"/>
              </w:rPr>
              <w:t>体位</w:t>
            </w:r>
          </w:p>
          <w:p>
            <w:pPr>
              <w:pStyle w:val="24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szCs w:val="21"/>
                <w:lang w:eastAsia="en-US"/>
              </w:rPr>
              <w:t>评估方法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（1）视诊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（2）触诊</w:t>
            </w:r>
          </w:p>
        </w:tc>
        <w:tc>
          <w:tcPr>
            <w:tcW w:w="1559" w:type="dxa"/>
          </w:tcPr>
          <w:p>
            <w:pPr>
              <w:pStyle w:val="24"/>
              <w:jc w:val="center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1.了解</w:t>
            </w:r>
            <w:r>
              <w:rPr>
                <w:rFonts w:hint="eastAsia"/>
                <w:sz w:val="21"/>
                <w:szCs w:val="21"/>
                <w:lang w:eastAsia="en-US"/>
              </w:rPr>
              <w:t>脊柱及四肢评估；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</w:t>
            </w:r>
            <w:r>
              <w:rPr>
                <w:rFonts w:hint="eastAsia"/>
                <w:sz w:val="21"/>
                <w:szCs w:val="21"/>
                <w:lang w:eastAsia="en-US"/>
              </w:rPr>
              <w:t>肛门及直肠评估；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掌握</w:t>
            </w:r>
            <w:r>
              <w:rPr>
                <w:rFonts w:hint="eastAsia"/>
                <w:sz w:val="21"/>
                <w:szCs w:val="21"/>
                <w:lang w:eastAsia="en-US"/>
              </w:rPr>
              <w:t>肛门及直肠触诊。</w:t>
            </w:r>
          </w:p>
        </w:tc>
        <w:tc>
          <w:tcPr>
            <w:tcW w:w="1353" w:type="dxa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演示操作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99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93" w:type="dxa"/>
            <w:vMerge w:val="continue"/>
          </w:tcPr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任务</w:t>
            </w:r>
            <w:r>
              <w:rPr>
                <w:rFonts w:hint="eastAsia"/>
                <w:lang w:eastAsia="en-US"/>
              </w:rPr>
              <w:t>3</w:t>
            </w:r>
          </w:p>
          <w:p>
            <w:pPr>
              <w:pStyle w:val="24"/>
              <w:spacing w:before="99"/>
              <w:ind w:left="60" w:right="19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lang w:eastAsia="en-US"/>
              </w:rPr>
              <w:t>神经</w:t>
            </w:r>
            <w:r>
              <w:rPr>
                <w:rFonts w:hint="eastAsia"/>
                <w:lang w:val="en-US" w:eastAsia="en-US"/>
              </w:rPr>
              <w:t>功能</w:t>
            </w:r>
            <w:r>
              <w:rPr>
                <w:rFonts w:hint="eastAsia"/>
                <w:lang w:eastAsia="en-US"/>
              </w:rPr>
              <w:t>评估</w:t>
            </w:r>
          </w:p>
        </w:tc>
        <w:tc>
          <w:tcPr>
            <w:tcW w:w="2744" w:type="dxa"/>
          </w:tcPr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（一）神经功能评估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1.感觉功能评估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2.运动功能评估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3.神经反射评估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（1）生理反射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（2）病理反射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（3）脑膜刺激征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（二）评估运用</w:t>
            </w:r>
          </w:p>
        </w:tc>
        <w:tc>
          <w:tcPr>
            <w:tcW w:w="1559" w:type="dxa"/>
          </w:tcPr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了解感觉功能、运动功能评估；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2.熟悉生理反射；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3.掌握病理反射和脑膜刺激征。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4.学会神经反射评估方法。</w:t>
            </w:r>
          </w:p>
        </w:tc>
        <w:tc>
          <w:tcPr>
            <w:tcW w:w="1353" w:type="dxa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演示操作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0</w:t>
            </w: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193" w:type="dxa"/>
            <w:vMerge w:val="continue"/>
          </w:tcPr>
          <w:p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spacing w:before="99"/>
              <w:ind w:right="19"/>
              <w:jc w:val="both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任务4</w:t>
            </w:r>
          </w:p>
          <w:p>
            <w:pPr>
              <w:pStyle w:val="24"/>
              <w:spacing w:before="99"/>
              <w:ind w:left="60" w:right="19"/>
              <w:jc w:val="both"/>
              <w:rPr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脊柱、四肢、神经功能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评估运用（常见</w:t>
            </w:r>
            <w:r>
              <w:rPr>
                <w:rFonts w:hint="eastAsia"/>
                <w:bCs/>
                <w:sz w:val="21"/>
                <w:szCs w:val="21"/>
                <w:lang w:eastAsia="en-US"/>
              </w:rPr>
              <w:t>护理问题、护理体检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）</w:t>
            </w:r>
          </w:p>
        </w:tc>
        <w:tc>
          <w:tcPr>
            <w:tcW w:w="2744" w:type="dxa"/>
          </w:tcPr>
          <w:p>
            <w:pPr>
              <w:pStyle w:val="24"/>
              <w:rPr>
                <w:bCs/>
                <w:sz w:val="21"/>
                <w:szCs w:val="21"/>
                <w:lang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（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一</w:t>
            </w:r>
            <w:r>
              <w:rPr>
                <w:rFonts w:hint="eastAsia"/>
                <w:bCs/>
                <w:sz w:val="21"/>
                <w:szCs w:val="21"/>
                <w:lang w:eastAsia="en-US"/>
              </w:rPr>
              <w:t>）脊柱、四肢、神经功能护理问题</w:t>
            </w:r>
          </w:p>
          <w:p>
            <w:pPr>
              <w:rPr>
                <w:bCs/>
                <w:sz w:val="21"/>
                <w:szCs w:val="21"/>
                <w:lang w:eastAsia="en-US"/>
              </w:rPr>
            </w:pPr>
            <w:r>
              <w:rPr>
                <w:rFonts w:hint="eastAsia"/>
                <w:bCs/>
                <w:sz w:val="21"/>
                <w:szCs w:val="21"/>
                <w:lang w:eastAsia="en-US"/>
              </w:rPr>
              <w:t>（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二</w:t>
            </w:r>
            <w:r>
              <w:rPr>
                <w:rFonts w:hint="eastAsia"/>
                <w:bCs/>
                <w:sz w:val="21"/>
                <w:szCs w:val="21"/>
                <w:lang w:eastAsia="en-US"/>
              </w:rPr>
              <w:t>）护理体检（含记录）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559" w:type="dxa"/>
          </w:tcPr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结合情景案例，运用所学知识进行</w:t>
            </w:r>
            <w:r>
              <w:rPr>
                <w:rFonts w:hint="eastAsia"/>
                <w:sz w:val="21"/>
                <w:szCs w:val="21"/>
                <w:lang w:eastAsia="en-US"/>
              </w:rPr>
              <w:t>肛门及直肠</w:t>
            </w:r>
            <w:r>
              <w:rPr>
                <w:rFonts w:hint="eastAsia"/>
                <w:bCs/>
                <w:sz w:val="21"/>
                <w:szCs w:val="21"/>
                <w:lang w:eastAsia="en-US"/>
              </w:rPr>
              <w:t>脊柱、四肢、神经功能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评估。</w:t>
            </w:r>
          </w:p>
        </w:tc>
        <w:tc>
          <w:tcPr>
            <w:tcW w:w="1353" w:type="dxa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案例分析</w:t>
            </w: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小组讨论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护理查房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角色扮演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szCs w:val="21"/>
                <w:lang w:eastAsia="en-US"/>
              </w:rPr>
              <w:t>技能实践</w:t>
            </w: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193" w:type="dxa"/>
            <w:vMerge w:val="restart"/>
          </w:tcPr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lang w:eastAsia="en-US"/>
              </w:rPr>
              <w:t>项目四：辅助检查</w:t>
            </w: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任务1</w:t>
            </w: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eastAsia="en-US"/>
              </w:rPr>
              <w:t>实验室检查</w:t>
            </w:r>
          </w:p>
        </w:tc>
        <w:tc>
          <w:tcPr>
            <w:tcW w:w="2744" w:type="dxa"/>
          </w:tcPr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（一）血液检查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1.标本采集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2.血液一般检查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3.止血与凝血功能检查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4.血液其他检查</w:t>
            </w:r>
          </w:p>
        </w:tc>
        <w:tc>
          <w:tcPr>
            <w:tcW w:w="1559" w:type="dxa"/>
          </w:tcPr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了解血液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标本采集注意事项；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止血与凝血功能检查、血液其他检查；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掌握并运用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血液其他检查。</w:t>
            </w:r>
            <w:r>
              <w:rPr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1353" w:type="dxa"/>
            <w:vAlign w:val="center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理论讲授</w:t>
            </w:r>
          </w:p>
          <w:p>
            <w:pPr>
              <w:pStyle w:val="24"/>
              <w:spacing w:before="16" w:line="227" w:lineRule="exact"/>
              <w:ind w:right="64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化验单</w:t>
            </w:r>
            <w:r>
              <w:rPr>
                <w:rFonts w:hint="eastAsia"/>
                <w:sz w:val="21"/>
                <w:lang w:eastAsia="en-US"/>
              </w:rPr>
              <w:t>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小</w:t>
            </w:r>
            <w:r>
              <w:rPr>
                <w:rFonts w:hint="eastAsia"/>
                <w:sz w:val="21"/>
                <w:lang w:eastAsia="en-US"/>
              </w:rPr>
              <w:t>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习题检测</w:t>
            </w: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193" w:type="dxa"/>
            <w:vMerge w:val="continue"/>
          </w:tcPr>
          <w:p>
            <w:pPr>
              <w:rPr>
                <w:lang w:eastAsia="en-US"/>
              </w:rPr>
            </w:pP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任务2</w:t>
            </w: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eastAsia="en-US"/>
              </w:rPr>
              <w:t>实验室检查</w:t>
            </w:r>
          </w:p>
        </w:tc>
        <w:tc>
          <w:tcPr>
            <w:tcW w:w="2744" w:type="dxa"/>
          </w:tcPr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（二）尿液检查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1.标本采集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2.尿液一般形状检查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3.尿液化学检查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4.尿液显微镜检查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（三）粪便检查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1.标本采集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2.粪便一般形状检查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3.粪便化学检查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4.粪便显微镜检查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5.粪便细菌学检查</w:t>
            </w:r>
          </w:p>
        </w:tc>
        <w:tc>
          <w:tcPr>
            <w:tcW w:w="1559" w:type="dxa"/>
          </w:tcPr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了解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尿液、粪便显微镜检查和粪便细菌学检查；</w:t>
            </w:r>
            <w:r>
              <w:rPr>
                <w:sz w:val="21"/>
                <w:szCs w:val="21"/>
                <w:lang w:val="en-US" w:eastAsia="en-US"/>
              </w:rPr>
              <w:t xml:space="preserve"> 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熟悉尿液、粪便化学检查；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3.掌握并运用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 xml:space="preserve">尿液、粪便一般形状检查； 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学会尿液、粪便标本采集技能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。</w:t>
            </w:r>
          </w:p>
        </w:tc>
        <w:tc>
          <w:tcPr>
            <w:tcW w:w="1353" w:type="dxa"/>
            <w:vAlign w:val="center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理论讲授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小</w:t>
            </w:r>
            <w:r>
              <w:rPr>
                <w:rFonts w:hint="eastAsia"/>
                <w:sz w:val="21"/>
                <w:lang w:eastAsia="en-US"/>
              </w:rPr>
              <w:t>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合作探究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模拟实验</w:t>
            </w:r>
          </w:p>
          <w:p>
            <w:pPr>
              <w:pStyle w:val="24"/>
              <w:spacing w:before="16" w:line="227" w:lineRule="exact"/>
              <w:ind w:right="206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化验单</w:t>
            </w:r>
            <w:r>
              <w:rPr>
                <w:rFonts w:hint="eastAsia"/>
                <w:sz w:val="21"/>
                <w:lang w:eastAsia="en-US"/>
              </w:rPr>
              <w:t>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习题检测</w:t>
            </w: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93" w:type="dxa"/>
            <w:vMerge w:val="continue"/>
          </w:tcPr>
          <w:p>
            <w:pPr>
              <w:rPr>
                <w:lang w:eastAsia="en-US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spacing w:before="99"/>
              <w:ind w:left="60" w:right="19"/>
              <w:jc w:val="center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任务3</w:t>
            </w:r>
          </w:p>
          <w:p>
            <w:pPr>
              <w:pStyle w:val="24"/>
              <w:spacing w:before="99"/>
              <w:ind w:left="60" w:right="19"/>
              <w:jc w:val="center"/>
              <w:rPr>
                <w:lang w:val="en-US" w:eastAsia="en-US"/>
              </w:rPr>
            </w:pPr>
            <w:r>
              <w:rPr>
                <w:rFonts w:hint="eastAsia"/>
                <w:lang w:eastAsia="en-US"/>
              </w:rPr>
              <w:t>实验室检查</w:t>
            </w:r>
          </w:p>
        </w:tc>
        <w:tc>
          <w:tcPr>
            <w:tcW w:w="2744" w:type="dxa"/>
          </w:tcPr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（四）常用肝功能检查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1.血清蛋白质检查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2.血清胆红素检查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3.血清酶学检查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（五）常用肾功能检查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1.肾小球功能检查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2.肾小管功能检查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（六）浆膜腔积液检查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1.标本采集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2.检查项目及临床意义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3.显微镜检查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4.病原体检查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（七）脑脊液检查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1.标本采集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2.检查项目及临床意义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（八）常用免疫学检查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1.肝炎病毒标志物检查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2.肿瘤标志物检查</w:t>
            </w:r>
          </w:p>
        </w:tc>
        <w:tc>
          <w:tcPr>
            <w:tcW w:w="1559" w:type="dxa"/>
          </w:tcPr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1.了解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浆膜腔积液和脑脊液检查检查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常用免疫学检查；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3.掌握并运用</w:t>
            </w:r>
            <w:r>
              <w:rPr>
                <w:rFonts w:hint="eastAsia"/>
                <w:bCs/>
                <w:sz w:val="21"/>
                <w:szCs w:val="21"/>
                <w:lang w:val="en-US" w:eastAsia="en-US"/>
              </w:rPr>
              <w:t>常用肝、肾功能检查</w:t>
            </w:r>
            <w:r>
              <w:rPr>
                <w:rFonts w:hint="eastAsia"/>
                <w:sz w:val="21"/>
                <w:szCs w:val="21"/>
                <w:lang w:val="en-US" w:eastAsia="en-US"/>
              </w:rPr>
              <w:t>。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1353" w:type="dxa"/>
            <w:vAlign w:val="center"/>
          </w:tcPr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 xml:space="preserve"> 理论讲授</w:t>
            </w:r>
          </w:p>
          <w:p>
            <w:pPr>
              <w:pStyle w:val="24"/>
              <w:spacing w:before="16" w:line="227" w:lineRule="exact"/>
              <w:ind w:right="64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化验单</w:t>
            </w:r>
            <w:r>
              <w:rPr>
                <w:rFonts w:hint="eastAsia"/>
                <w:sz w:val="21"/>
                <w:lang w:eastAsia="en-US"/>
              </w:rPr>
              <w:t>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小</w:t>
            </w:r>
            <w:r>
              <w:rPr>
                <w:rFonts w:hint="eastAsia"/>
                <w:sz w:val="21"/>
                <w:lang w:eastAsia="en-US"/>
              </w:rPr>
              <w:t>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 xml:space="preserve"> 习题检测</w:t>
            </w:r>
          </w:p>
        </w:tc>
        <w:tc>
          <w:tcPr>
            <w:tcW w:w="615" w:type="dxa"/>
            <w:vAlign w:val="center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68" w:type="dxa"/>
            <w:vAlign w:val="center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193" w:type="dxa"/>
            <w:vMerge w:val="continue"/>
          </w:tcPr>
          <w:p>
            <w:pPr>
              <w:rPr>
                <w:lang w:eastAsia="en-US"/>
              </w:rPr>
            </w:pP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任务4</w:t>
            </w:r>
          </w:p>
          <w:p>
            <w:pPr>
              <w:pStyle w:val="24"/>
              <w:spacing w:before="99"/>
              <w:ind w:left="60" w:right="19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影像学检查</w:t>
            </w: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eastAsia="en-US"/>
              </w:rPr>
              <w:t>（</w:t>
            </w:r>
            <w:r>
              <w:rPr>
                <w:rFonts w:hint="eastAsia"/>
                <w:lang w:val="en-US" w:eastAsia="en-US"/>
              </w:rPr>
              <w:t>X线、B超</w:t>
            </w:r>
            <w:r>
              <w:rPr>
                <w:rFonts w:hint="eastAsia"/>
                <w:lang w:eastAsia="en-US"/>
              </w:rPr>
              <w:t>）</w:t>
            </w:r>
          </w:p>
        </w:tc>
        <w:tc>
          <w:tcPr>
            <w:tcW w:w="2744" w:type="dxa"/>
          </w:tcPr>
          <w:p>
            <w:pPr>
              <w:pStyle w:val="24"/>
              <w:spacing w:before="21"/>
              <w:ind w:left="108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（一）X 线检查</w:t>
            </w:r>
          </w:p>
          <w:p>
            <w:pPr>
              <w:pStyle w:val="24"/>
              <w:spacing w:before="43"/>
              <w:jc w:val="both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1.X</w:t>
            </w:r>
            <w:r>
              <w:rPr>
                <w:rFonts w:hint="eastAsia"/>
                <w:spacing w:val="-8"/>
                <w:sz w:val="21"/>
                <w:lang w:eastAsia="en-US"/>
              </w:rPr>
              <w:t xml:space="preserve"> 线临床应用的基本原理</w:t>
            </w:r>
          </w:p>
          <w:p>
            <w:pPr>
              <w:pStyle w:val="24"/>
              <w:spacing w:before="43"/>
              <w:jc w:val="both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2.X</w:t>
            </w:r>
            <w:r>
              <w:rPr>
                <w:rFonts w:hint="eastAsia"/>
                <w:spacing w:val="-8"/>
                <w:sz w:val="21"/>
                <w:lang w:eastAsia="en-US"/>
              </w:rPr>
              <w:t xml:space="preserve"> 线检查方法及临床应用</w:t>
            </w:r>
          </w:p>
          <w:p>
            <w:pPr>
              <w:pStyle w:val="24"/>
              <w:spacing w:before="43" w:line="278" w:lineRule="auto"/>
              <w:ind w:right="357"/>
              <w:jc w:val="both"/>
              <w:rPr>
                <w:spacing w:val="-8"/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3.X</w:t>
            </w:r>
            <w:r>
              <w:rPr>
                <w:rFonts w:hint="eastAsia"/>
                <w:spacing w:val="-8"/>
                <w:sz w:val="21"/>
                <w:lang w:eastAsia="en-US"/>
              </w:rPr>
              <w:t xml:space="preserve"> 线检查前准备和防护</w:t>
            </w:r>
          </w:p>
          <w:p>
            <w:pPr>
              <w:pStyle w:val="24"/>
              <w:spacing w:before="43" w:line="278" w:lineRule="auto"/>
              <w:ind w:right="357"/>
              <w:jc w:val="both"/>
              <w:rPr>
                <w:spacing w:val="-13"/>
                <w:sz w:val="21"/>
                <w:lang w:eastAsia="en-US"/>
              </w:rPr>
            </w:pPr>
            <w:r>
              <w:rPr>
                <w:rFonts w:hint="eastAsia"/>
                <w:spacing w:val="-8"/>
                <w:sz w:val="21"/>
                <w:lang w:eastAsia="en-US"/>
              </w:rPr>
              <w:t>4</w:t>
            </w:r>
            <w:r>
              <w:rPr>
                <w:rFonts w:hint="eastAsia"/>
                <w:spacing w:val="-15"/>
                <w:sz w:val="21"/>
                <w:lang w:eastAsia="en-US"/>
              </w:rPr>
              <w:t xml:space="preserve">.各系统正常 </w:t>
            </w:r>
            <w:r>
              <w:rPr>
                <w:rFonts w:hint="eastAsia"/>
                <w:sz w:val="21"/>
                <w:lang w:eastAsia="en-US"/>
              </w:rPr>
              <w:t>X</w:t>
            </w:r>
            <w:r>
              <w:rPr>
                <w:rFonts w:hint="eastAsia"/>
                <w:spacing w:val="-13"/>
                <w:sz w:val="21"/>
                <w:lang w:eastAsia="en-US"/>
              </w:rPr>
              <w:t xml:space="preserve"> 线表现</w:t>
            </w:r>
          </w:p>
          <w:p>
            <w:pPr>
              <w:pStyle w:val="24"/>
              <w:spacing w:before="43" w:line="278" w:lineRule="auto"/>
              <w:ind w:right="357"/>
              <w:jc w:val="both"/>
              <w:rPr>
                <w:sz w:val="21"/>
                <w:lang w:eastAsia="en-US"/>
              </w:rPr>
            </w:pPr>
            <w:r>
              <w:rPr>
                <w:rFonts w:hint="eastAsia"/>
                <w:spacing w:val="-13"/>
                <w:sz w:val="21"/>
                <w:lang w:eastAsia="en-US"/>
              </w:rPr>
              <w:t>5</w:t>
            </w:r>
            <w:r>
              <w:rPr>
                <w:rFonts w:hint="eastAsia"/>
                <w:spacing w:val="-19"/>
                <w:sz w:val="21"/>
                <w:lang w:eastAsia="en-US"/>
              </w:rPr>
              <w:t xml:space="preserve">.常见基本病变 </w:t>
            </w:r>
            <w:r>
              <w:rPr>
                <w:rFonts w:hint="eastAsia"/>
                <w:sz w:val="21"/>
                <w:lang w:eastAsia="en-US"/>
              </w:rPr>
              <w:t>X</w:t>
            </w:r>
            <w:r>
              <w:rPr>
                <w:rFonts w:hint="eastAsia"/>
                <w:spacing w:val="-18"/>
                <w:sz w:val="21"/>
                <w:lang w:eastAsia="en-US"/>
              </w:rPr>
              <w:t xml:space="preserve"> 线表现</w:t>
            </w:r>
          </w:p>
          <w:p>
            <w:pPr>
              <w:pStyle w:val="24"/>
              <w:spacing w:line="269" w:lineRule="exact"/>
              <w:ind w:left="108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（二）超声检查</w:t>
            </w:r>
          </w:p>
          <w:p>
            <w:pPr>
              <w:pStyle w:val="24"/>
              <w:tabs>
                <w:tab w:val="left" w:pos="320"/>
              </w:tabs>
              <w:spacing w:before="43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1.</w:t>
            </w:r>
            <w:r>
              <w:rPr>
                <w:rFonts w:hint="eastAsia"/>
                <w:sz w:val="21"/>
                <w:lang w:eastAsia="en-US"/>
              </w:rPr>
              <w:t>超声检查方法及临床应用</w:t>
            </w:r>
          </w:p>
          <w:p>
            <w:pPr>
              <w:pStyle w:val="24"/>
              <w:rPr>
                <w:bCs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2.</w:t>
            </w:r>
            <w:r>
              <w:rPr>
                <w:rFonts w:hint="eastAsia"/>
                <w:sz w:val="21"/>
                <w:lang w:eastAsia="en-US"/>
              </w:rPr>
              <w:t>超声检查前的准备</w:t>
            </w:r>
          </w:p>
        </w:tc>
        <w:tc>
          <w:tcPr>
            <w:tcW w:w="1559" w:type="dxa"/>
          </w:tcPr>
          <w:p>
            <w:pPr>
              <w:pStyle w:val="24"/>
              <w:jc w:val="center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1.了解</w:t>
            </w:r>
            <w:r>
              <w:rPr>
                <w:rFonts w:hint="eastAsia"/>
                <w:sz w:val="21"/>
                <w:lang w:eastAsia="en-US"/>
              </w:rPr>
              <w:t>X</w:t>
            </w:r>
            <w:r>
              <w:rPr>
                <w:rFonts w:hint="eastAsia"/>
                <w:spacing w:val="-8"/>
                <w:sz w:val="21"/>
                <w:lang w:eastAsia="en-US"/>
              </w:rPr>
              <w:t xml:space="preserve"> 线临床应用的基本原理；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</w:t>
            </w:r>
            <w:r>
              <w:rPr>
                <w:rFonts w:hint="eastAsia"/>
                <w:spacing w:val="-15"/>
                <w:sz w:val="21"/>
                <w:lang w:eastAsia="en-US"/>
              </w:rPr>
              <w:t xml:space="preserve">各系统正常 </w:t>
            </w:r>
            <w:r>
              <w:rPr>
                <w:rFonts w:hint="eastAsia"/>
                <w:sz w:val="21"/>
                <w:lang w:eastAsia="en-US"/>
              </w:rPr>
              <w:t>X</w:t>
            </w:r>
            <w:r>
              <w:rPr>
                <w:rFonts w:hint="eastAsia"/>
                <w:spacing w:val="-13"/>
                <w:sz w:val="21"/>
                <w:lang w:eastAsia="en-US"/>
              </w:rPr>
              <w:t xml:space="preserve"> 线表现、</w:t>
            </w:r>
            <w:r>
              <w:rPr>
                <w:rFonts w:hint="eastAsia"/>
                <w:spacing w:val="-19"/>
                <w:sz w:val="21"/>
                <w:lang w:eastAsia="en-US"/>
              </w:rPr>
              <w:t xml:space="preserve">常见基本病变 </w:t>
            </w:r>
            <w:r>
              <w:rPr>
                <w:rFonts w:hint="eastAsia"/>
                <w:sz w:val="21"/>
                <w:lang w:eastAsia="en-US"/>
              </w:rPr>
              <w:t>X</w:t>
            </w:r>
            <w:r>
              <w:rPr>
                <w:rFonts w:hint="eastAsia"/>
                <w:spacing w:val="-18"/>
                <w:sz w:val="21"/>
                <w:lang w:eastAsia="en-US"/>
              </w:rPr>
              <w:t xml:space="preserve"> 线表现；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3.掌握并运用</w:t>
            </w:r>
            <w:r>
              <w:rPr>
                <w:rFonts w:hint="eastAsia"/>
                <w:sz w:val="21"/>
                <w:lang w:eastAsia="en-US"/>
              </w:rPr>
              <w:t>X</w:t>
            </w:r>
            <w:r>
              <w:rPr>
                <w:rFonts w:hint="eastAsia"/>
                <w:spacing w:val="-8"/>
                <w:sz w:val="21"/>
                <w:lang w:eastAsia="en-US"/>
              </w:rPr>
              <w:t xml:space="preserve"> 线检查前准备和防护，</w:t>
            </w:r>
            <w:r>
              <w:rPr>
                <w:rFonts w:hint="eastAsia"/>
                <w:sz w:val="21"/>
                <w:lang w:eastAsia="en-US"/>
              </w:rPr>
              <w:t>超声检查前的准备。</w:t>
            </w:r>
          </w:p>
        </w:tc>
        <w:tc>
          <w:tcPr>
            <w:tcW w:w="1353" w:type="dxa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理论讲授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X片</w:t>
            </w:r>
            <w:r>
              <w:rPr>
                <w:rFonts w:hint="eastAsia"/>
                <w:sz w:val="21"/>
                <w:lang w:eastAsia="en-US"/>
              </w:rPr>
              <w:t>分析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小</w:t>
            </w:r>
            <w:r>
              <w:rPr>
                <w:rFonts w:hint="eastAsia"/>
                <w:sz w:val="21"/>
                <w:lang w:eastAsia="en-US"/>
              </w:rPr>
              <w:t>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习题检测</w:t>
            </w: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193" w:type="dxa"/>
            <w:vMerge w:val="continue"/>
          </w:tcPr>
          <w:p>
            <w:pPr>
              <w:rPr>
                <w:lang w:eastAsia="en-US"/>
              </w:rPr>
            </w:pP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任务5</w:t>
            </w: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eastAsia="en-US"/>
              </w:rPr>
              <w:t>心电图检查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</w:instrText>
            </w:r>
            <w:r>
              <w:rPr>
                <w:rFonts w:hint="eastAsia"/>
                <w:lang w:eastAsia="en-US"/>
              </w:rPr>
              <w:instrText xml:space="preserve">= 1 \* GB3</w:instrText>
            </w:r>
            <w:r>
              <w:rPr>
                <w:lang w:eastAsia="en-US"/>
              </w:rPr>
              <w:instrText xml:space="preserve"> </w:instrText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t>①</w:t>
            </w:r>
            <w:r>
              <w:rPr>
                <w:lang w:eastAsia="en-US"/>
              </w:rPr>
              <w:fldChar w:fldCharType="end"/>
            </w: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</w:p>
        </w:tc>
        <w:tc>
          <w:tcPr>
            <w:tcW w:w="2744" w:type="dxa"/>
          </w:tcPr>
          <w:p>
            <w:pPr>
              <w:pStyle w:val="24"/>
              <w:numPr>
                <w:ilvl w:val="0"/>
                <w:numId w:val="2"/>
              </w:numPr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心电图的基本知识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1.心电图导联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2.心电图的组成与命名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（二）正常心电图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1.心电图的测量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2.心电图各波段正常值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3.心电图的分析方法与临床应用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（三） 异常心电图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1.心房与心室肥大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2.常见心律失常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3 心肌缺血及心肌梗死</w:t>
            </w:r>
          </w:p>
        </w:tc>
        <w:tc>
          <w:tcPr>
            <w:tcW w:w="1559" w:type="dxa"/>
          </w:tcPr>
          <w:p>
            <w:pPr>
              <w:pStyle w:val="24"/>
              <w:jc w:val="center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1.了解</w:t>
            </w:r>
            <w:r>
              <w:rPr>
                <w:rFonts w:hint="eastAsia"/>
                <w:sz w:val="21"/>
                <w:lang w:val="en-US" w:eastAsia="en-US"/>
              </w:rPr>
              <w:t>心电图的基本知识、心电图的测量；</w:t>
            </w: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2.熟悉</w:t>
            </w:r>
            <w:r>
              <w:rPr>
                <w:rFonts w:hint="eastAsia"/>
                <w:sz w:val="21"/>
                <w:lang w:val="en-US" w:eastAsia="en-US"/>
              </w:rPr>
              <w:t>心电图各波段正常值及异常心电图</w:t>
            </w:r>
          </w:p>
          <w:p>
            <w:pPr>
              <w:pStyle w:val="24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3.掌握并运用</w:t>
            </w:r>
            <w:r>
              <w:rPr>
                <w:rFonts w:hint="eastAsia"/>
                <w:sz w:val="21"/>
                <w:lang w:val="en-US" w:eastAsia="en-US"/>
              </w:rPr>
              <w:t>常见心律失常。</w:t>
            </w:r>
          </w:p>
          <w:p>
            <w:pPr>
              <w:pStyle w:val="24"/>
              <w:jc w:val="center"/>
              <w:rPr>
                <w:sz w:val="21"/>
                <w:lang w:val="en-US" w:eastAsia="en-US"/>
              </w:rPr>
            </w:pPr>
          </w:p>
        </w:tc>
        <w:tc>
          <w:tcPr>
            <w:tcW w:w="1353" w:type="dxa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理论讲授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画图描记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小</w:t>
            </w:r>
            <w:r>
              <w:rPr>
                <w:rFonts w:hint="eastAsia"/>
                <w:sz w:val="21"/>
                <w:lang w:eastAsia="en-US"/>
              </w:rPr>
              <w:t>组讨论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教学录像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习题检测</w:t>
            </w: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193" w:type="dxa"/>
            <w:vMerge w:val="continue"/>
          </w:tcPr>
          <w:p>
            <w:pPr>
              <w:rPr>
                <w:lang w:eastAsia="en-US"/>
              </w:rPr>
            </w:pPr>
          </w:p>
        </w:tc>
        <w:tc>
          <w:tcPr>
            <w:tcW w:w="1229" w:type="dxa"/>
          </w:tcPr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val="en-US" w:eastAsia="en-US"/>
              </w:rPr>
              <w:t>任务6</w:t>
            </w:r>
          </w:p>
          <w:p>
            <w:pPr>
              <w:pStyle w:val="24"/>
              <w:spacing w:before="99"/>
              <w:ind w:left="60" w:right="19"/>
              <w:rPr>
                <w:lang w:val="en-US" w:eastAsia="en-US"/>
              </w:rPr>
            </w:pPr>
            <w:r>
              <w:rPr>
                <w:rFonts w:hint="eastAsia"/>
                <w:lang w:eastAsia="en-US"/>
              </w:rPr>
              <w:t>心电图检查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</w:instrText>
            </w:r>
            <w:r>
              <w:rPr>
                <w:rFonts w:hint="eastAsia"/>
                <w:lang w:eastAsia="en-US"/>
              </w:rPr>
              <w:instrText xml:space="preserve">= 2 \* GB3</w:instrText>
            </w:r>
            <w:r>
              <w:rPr>
                <w:lang w:eastAsia="en-US"/>
              </w:rPr>
              <w:instrText xml:space="preserve"> </w:instrText>
            </w:r>
            <w:r>
              <w:rPr>
                <w:lang w:eastAsia="en-US"/>
              </w:rPr>
              <w:fldChar w:fldCharType="separate"/>
            </w:r>
            <w:r>
              <w:rPr>
                <w:rFonts w:hint="eastAsia"/>
                <w:lang w:eastAsia="en-US"/>
              </w:rPr>
              <w:t>②</w:t>
            </w:r>
            <w:r>
              <w:rPr>
                <w:lang w:eastAsia="en-US"/>
              </w:rPr>
              <w:fldChar w:fldCharType="end"/>
            </w:r>
            <w:r>
              <w:rPr>
                <w:rFonts w:hint="eastAsia"/>
                <w:lang w:eastAsia="en-US"/>
              </w:rPr>
              <w:tab/>
            </w:r>
          </w:p>
        </w:tc>
        <w:tc>
          <w:tcPr>
            <w:tcW w:w="2744" w:type="dxa"/>
          </w:tcPr>
          <w:p>
            <w:pPr>
              <w:pStyle w:val="24"/>
              <w:rPr>
                <w:sz w:val="21"/>
                <w:lang w:val="en-US" w:eastAsia="en-US"/>
              </w:rPr>
            </w:pPr>
          </w:p>
          <w:p>
            <w:pPr>
              <w:pStyle w:val="24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eastAsia="en-US"/>
              </w:rPr>
              <w:t>心电图的描记</w:t>
            </w:r>
          </w:p>
        </w:tc>
        <w:tc>
          <w:tcPr>
            <w:tcW w:w="1559" w:type="dxa"/>
          </w:tcPr>
          <w:p>
            <w:pPr>
              <w:pStyle w:val="24"/>
              <w:spacing w:before="16" w:line="266" w:lineRule="exact"/>
              <w:ind w:left="318"/>
              <w:rPr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16" w:line="266" w:lineRule="exact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szCs w:val="21"/>
                <w:lang w:val="en-US" w:eastAsia="en-US"/>
              </w:rPr>
              <w:t>学会</w:t>
            </w:r>
            <w:r>
              <w:rPr>
                <w:rFonts w:hint="eastAsia"/>
                <w:sz w:val="21"/>
                <w:lang w:eastAsia="en-US"/>
              </w:rPr>
              <w:t>心电图的检查操作技能</w:t>
            </w:r>
          </w:p>
        </w:tc>
        <w:tc>
          <w:tcPr>
            <w:tcW w:w="1353" w:type="dxa"/>
          </w:tcPr>
          <w:p>
            <w:pPr>
              <w:pStyle w:val="24"/>
              <w:spacing w:before="16" w:line="227" w:lineRule="exact"/>
              <w:ind w:left="307" w:right="302"/>
              <w:jc w:val="center"/>
              <w:rPr>
                <w:sz w:val="21"/>
                <w:lang w:val="en-US" w:eastAsia="en-US"/>
              </w:rPr>
            </w:pP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val="en-US" w:eastAsia="en-US"/>
              </w:rPr>
              <w:t>演示操作</w:t>
            </w:r>
          </w:p>
          <w:p>
            <w:pPr>
              <w:pStyle w:val="24"/>
              <w:spacing w:before="16" w:line="227" w:lineRule="exact"/>
              <w:ind w:right="302"/>
              <w:jc w:val="center"/>
              <w:rPr>
                <w:sz w:val="21"/>
                <w:lang w:val="en-US" w:eastAsia="en-US"/>
              </w:rPr>
            </w:pPr>
            <w:r>
              <w:rPr>
                <w:rFonts w:hint="eastAsia"/>
                <w:sz w:val="21"/>
                <w:lang w:eastAsia="en-US"/>
              </w:rPr>
              <w:t>技能实践</w:t>
            </w:r>
          </w:p>
        </w:tc>
        <w:tc>
          <w:tcPr>
            <w:tcW w:w="615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0</w:t>
            </w:r>
          </w:p>
        </w:tc>
        <w:tc>
          <w:tcPr>
            <w:tcW w:w="668" w:type="dxa"/>
          </w:tcPr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</w:p>
          <w:p>
            <w:pPr>
              <w:pStyle w:val="24"/>
              <w:spacing w:before="99"/>
              <w:ind w:left="108"/>
              <w:jc w:val="center"/>
              <w:rPr>
                <w:w w:val="99"/>
                <w:sz w:val="21"/>
                <w:szCs w:val="21"/>
                <w:lang w:val="en-US" w:eastAsia="en-US"/>
              </w:rPr>
            </w:pPr>
            <w:r>
              <w:rPr>
                <w:rFonts w:hint="eastAsia"/>
                <w:w w:val="99"/>
                <w:sz w:val="21"/>
                <w:szCs w:val="21"/>
                <w:lang w:val="en-US" w:eastAsia="en-US"/>
              </w:rPr>
              <w:t>2</w:t>
            </w:r>
          </w:p>
        </w:tc>
      </w:tr>
    </w:tbl>
    <w:p>
      <w:pPr>
        <w:pStyle w:val="22"/>
        <w:tabs>
          <w:tab w:val="left" w:pos="829"/>
        </w:tabs>
        <w:spacing w:before="66"/>
        <w:ind w:firstLine="562"/>
        <w:rPr>
          <w:b/>
          <w:bCs/>
          <w:sz w:val="28"/>
          <w:szCs w:val="28"/>
        </w:rPr>
      </w:pPr>
      <w:bookmarkStart w:id="13" w:name="七、资源开发和利用"/>
      <w:r>
        <w:rPr>
          <w:rFonts w:hint="eastAsia"/>
          <w:b/>
          <w:bCs/>
          <w:sz w:val="28"/>
          <w:szCs w:val="28"/>
        </w:rPr>
        <w:t>七、资源开发和利用</w:t>
      </w:r>
    </w:p>
    <w:bookmarkEnd w:id="13"/>
    <w:p>
      <w:pPr>
        <w:pStyle w:val="22"/>
        <w:tabs>
          <w:tab w:val="left" w:pos="829"/>
        </w:tabs>
        <w:spacing w:before="66" w:line="360" w:lineRule="auto"/>
        <w:ind w:firstLine="460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  <w:lang w:val="en-US"/>
        </w:rPr>
        <w:t>1.</w:t>
      </w:r>
      <w:r>
        <w:rPr>
          <w:spacing w:val="-5"/>
          <w:sz w:val="28"/>
          <w:szCs w:val="28"/>
        </w:rPr>
        <w:t>教材开发：</w:t>
      </w:r>
      <w:r>
        <w:rPr>
          <w:rFonts w:hint="eastAsia"/>
          <w:spacing w:val="-5"/>
          <w:sz w:val="28"/>
          <w:szCs w:val="28"/>
        </w:rPr>
        <w:t>现有</w:t>
      </w:r>
      <w:r>
        <w:rPr>
          <w:rFonts w:hint="eastAsia"/>
          <w:spacing w:val="-5"/>
          <w:sz w:val="28"/>
          <w:szCs w:val="28"/>
          <w:lang w:val="en-US" w:eastAsia="zh-CN"/>
        </w:rPr>
        <w:t>省、市</w:t>
      </w:r>
      <w:r>
        <w:rPr>
          <w:rFonts w:hint="eastAsia"/>
          <w:spacing w:val="-5"/>
          <w:sz w:val="28"/>
          <w:szCs w:val="28"/>
          <w:lang w:val="en-US"/>
        </w:rPr>
        <w:t>级立项</w:t>
      </w:r>
      <w:r>
        <w:rPr>
          <w:rFonts w:hint="eastAsia"/>
          <w:spacing w:val="-5"/>
          <w:sz w:val="28"/>
          <w:szCs w:val="28"/>
          <w:lang w:val="en-US"/>
        </w:rPr>
        <w:t>课题</w:t>
      </w:r>
      <w:r>
        <w:rPr>
          <w:rFonts w:hint="eastAsia"/>
          <w:spacing w:val="-5"/>
          <w:sz w:val="28"/>
          <w:szCs w:val="28"/>
          <w:lang w:val="en-US" w:eastAsia="zh-CN"/>
        </w:rPr>
        <w:t>2项，“高职专业学院试点班《健康评估》课程教学研究”（2020YQJK492）、“高职专业学院试点班《健康评估》课程教学的设计与实施”（hy20100）</w:t>
      </w:r>
      <w:r>
        <w:rPr>
          <w:rFonts w:hint="eastAsia"/>
          <w:spacing w:val="-5"/>
          <w:sz w:val="28"/>
          <w:szCs w:val="28"/>
          <w:lang w:val="en-US" w:eastAsia="zh-CN"/>
        </w:rPr>
        <w:t>，</w:t>
      </w:r>
      <w:r>
        <w:rPr>
          <w:rFonts w:hint="eastAsia"/>
          <w:spacing w:val="-5"/>
          <w:sz w:val="28"/>
          <w:szCs w:val="28"/>
        </w:rPr>
        <w:t>结合教研课题，</w:t>
      </w:r>
      <w:r>
        <w:rPr>
          <w:rFonts w:hint="eastAsia"/>
          <w:spacing w:val="-5"/>
          <w:sz w:val="28"/>
          <w:szCs w:val="28"/>
          <w:lang w:val="en-US"/>
        </w:rPr>
        <w:t>积极</w:t>
      </w:r>
      <w:r>
        <w:rPr>
          <w:rFonts w:hint="eastAsia"/>
          <w:spacing w:val="-5"/>
          <w:sz w:val="28"/>
          <w:szCs w:val="28"/>
        </w:rPr>
        <w:t>组织教研组内教师共同开发工作手册式</w:t>
      </w:r>
      <w:r>
        <w:rPr>
          <w:rFonts w:hint="eastAsia"/>
          <w:spacing w:val="-5"/>
          <w:sz w:val="28"/>
          <w:szCs w:val="28"/>
          <w:lang w:val="en-US"/>
        </w:rPr>
        <w:t>校本教材</w:t>
      </w:r>
      <w:r>
        <w:rPr>
          <w:rFonts w:hint="eastAsia"/>
          <w:spacing w:val="-5"/>
          <w:sz w:val="28"/>
          <w:szCs w:val="28"/>
        </w:rPr>
        <w:t>。</w:t>
      </w:r>
    </w:p>
    <w:p>
      <w:pPr>
        <w:pStyle w:val="22"/>
        <w:tabs>
          <w:tab w:val="left" w:pos="829"/>
        </w:tabs>
        <w:spacing w:before="66" w:line="360" w:lineRule="auto"/>
        <w:ind w:firstLine="448"/>
        <w:rPr>
          <w:sz w:val="28"/>
          <w:szCs w:val="28"/>
        </w:rPr>
      </w:pPr>
      <w:r>
        <w:rPr>
          <w:rFonts w:hint="eastAsia"/>
          <w:spacing w:val="-8"/>
          <w:sz w:val="28"/>
          <w:szCs w:val="28"/>
          <w:lang w:val="en-US"/>
        </w:rPr>
        <w:t>2.</w:t>
      </w:r>
      <w:r>
        <w:rPr>
          <w:spacing w:val="-8"/>
          <w:sz w:val="28"/>
          <w:szCs w:val="28"/>
        </w:rPr>
        <w:t>网络资源开发：现有</w:t>
      </w:r>
      <w:r>
        <w:rPr>
          <w:rFonts w:hint="eastAsia"/>
          <w:spacing w:val="-8"/>
          <w:sz w:val="28"/>
          <w:szCs w:val="28"/>
        </w:rPr>
        <w:t>人卫教材</w:t>
      </w:r>
      <w:r>
        <w:rPr>
          <w:spacing w:val="-8"/>
          <w:sz w:val="28"/>
          <w:szCs w:val="28"/>
        </w:rPr>
        <w:t>配套网络增值服务，学生可在人卫医学网查询相应的网络教学视</w:t>
      </w:r>
      <w:r>
        <w:rPr>
          <w:spacing w:val="-10"/>
          <w:sz w:val="28"/>
          <w:szCs w:val="28"/>
        </w:rPr>
        <w:t>频、试题库；学校</w:t>
      </w:r>
      <w:r>
        <w:rPr>
          <w:rFonts w:hint="eastAsia"/>
          <w:spacing w:val="-10"/>
          <w:sz w:val="28"/>
          <w:szCs w:val="28"/>
        </w:rPr>
        <w:t>建设有</w:t>
      </w:r>
      <w:r>
        <w:rPr>
          <w:rFonts w:hint="eastAsia"/>
          <w:spacing w:val="-10"/>
          <w:sz w:val="28"/>
          <w:szCs w:val="28"/>
          <w:lang w:val="en-US"/>
        </w:rPr>
        <w:t>健康评估学习助手微信公众号、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内科护理（健康评估）学习平台、学习管理系统平台、解剖3D资源、人卫医学素材库、护考资源库，人卫中西医临床知识库等可以使用，种类丰富、使用便捷，满足广大师生使用。</w:t>
      </w:r>
    </w:p>
    <w:p>
      <w:pPr>
        <w:pStyle w:val="22"/>
        <w:tabs>
          <w:tab w:val="left" w:pos="829"/>
        </w:tabs>
        <w:spacing w:line="360" w:lineRule="auto"/>
        <w:ind w:right="157" w:firstLine="456"/>
        <w:jc w:val="both"/>
        <w:rPr>
          <w:sz w:val="28"/>
          <w:szCs w:val="28"/>
        </w:rPr>
      </w:pPr>
      <w:r>
        <w:rPr>
          <w:rFonts w:hint="eastAsia"/>
          <w:spacing w:val="-6"/>
          <w:sz w:val="28"/>
          <w:szCs w:val="28"/>
          <w:lang w:val="en-US"/>
        </w:rPr>
        <w:t>3.</w:t>
      </w:r>
      <w:r>
        <w:rPr>
          <w:spacing w:val="-6"/>
          <w:sz w:val="28"/>
          <w:szCs w:val="28"/>
        </w:rPr>
        <w:t>校内模拟实训资源：合理利用校内实训基地，现校内护理实训大</w:t>
      </w:r>
      <w:bookmarkStart w:id="18" w:name="_GoBack"/>
      <w:bookmarkEnd w:id="18"/>
      <w:r>
        <w:rPr>
          <w:spacing w:val="-6"/>
          <w:sz w:val="28"/>
          <w:szCs w:val="28"/>
        </w:rPr>
        <w:t>楼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/>
        </w:rPr>
        <w:t>建有</w:t>
      </w:r>
      <w:r>
        <w:rPr>
          <w:rFonts w:hint="eastAsia" w:cs="Times New Roman" w:asciiTheme="minorEastAsia" w:hAnsiTheme="minorEastAsia" w:eastAsiaTheme="minorEastAsia"/>
          <w:sz w:val="28"/>
          <w:szCs w:val="28"/>
        </w:rPr>
        <w:t>外科实训中心、综合护理技能实训中心、临床护理实训中心、助产实训中心、康复技能实训中心、护理礼仪实训场室，职业素养工作室和技能考核OSCE站点。其中，临床护理实训中心设有</w:t>
      </w:r>
      <w:r>
        <w:rPr>
          <w:spacing w:val="-6"/>
          <w:sz w:val="28"/>
          <w:szCs w:val="28"/>
        </w:rPr>
        <w:t>健康评估室2</w:t>
      </w:r>
      <w:r>
        <w:rPr>
          <w:rFonts w:hint="eastAsia"/>
          <w:spacing w:val="-6"/>
          <w:sz w:val="28"/>
          <w:szCs w:val="28"/>
        </w:rPr>
        <w:t>间</w:t>
      </w:r>
      <w:r>
        <w:rPr>
          <w:spacing w:val="-6"/>
          <w:sz w:val="28"/>
          <w:szCs w:val="28"/>
        </w:rPr>
        <w:t>、心</w:t>
      </w:r>
      <w:r>
        <w:rPr>
          <w:spacing w:val="-7"/>
          <w:sz w:val="28"/>
          <w:szCs w:val="28"/>
        </w:rPr>
        <w:t>电图室1</w:t>
      </w:r>
      <w:r>
        <w:rPr>
          <w:rFonts w:hint="eastAsia"/>
          <w:spacing w:val="-7"/>
          <w:sz w:val="28"/>
          <w:szCs w:val="28"/>
        </w:rPr>
        <w:t>间</w:t>
      </w:r>
      <w:r>
        <w:rPr>
          <w:spacing w:val="-7"/>
          <w:sz w:val="28"/>
          <w:szCs w:val="28"/>
        </w:rPr>
        <w:t>、</w:t>
      </w:r>
      <w:r>
        <w:rPr>
          <w:rFonts w:hint="eastAsia"/>
          <w:spacing w:val="-7"/>
          <w:sz w:val="28"/>
          <w:szCs w:val="28"/>
        </w:rPr>
        <w:t>阶段教室2间，理实一体示教室4间</w:t>
      </w:r>
      <w:r>
        <w:rPr>
          <w:spacing w:val="-6"/>
          <w:sz w:val="28"/>
          <w:szCs w:val="28"/>
        </w:rPr>
        <w:t>等，内含仿真护士站、模拟病室、各类护理仿真模型等，同</w:t>
      </w:r>
      <w:r>
        <w:rPr>
          <w:spacing w:val="-10"/>
          <w:sz w:val="28"/>
          <w:szCs w:val="28"/>
        </w:rPr>
        <w:t>时借助</w:t>
      </w:r>
      <w:r>
        <w:rPr>
          <w:rFonts w:hint="eastAsia"/>
          <w:spacing w:val="-10"/>
          <w:sz w:val="28"/>
          <w:szCs w:val="28"/>
          <w:lang w:val="en-US"/>
        </w:rPr>
        <w:t>学生</w:t>
      </w:r>
      <w:r>
        <w:rPr>
          <w:spacing w:val="-10"/>
          <w:sz w:val="28"/>
          <w:szCs w:val="28"/>
        </w:rPr>
        <w:t>助教、培养</w:t>
      </w:r>
      <w:r>
        <w:rPr>
          <w:rFonts w:hint="eastAsia"/>
          <w:spacing w:val="-10"/>
          <w:sz w:val="28"/>
          <w:szCs w:val="28"/>
          <w:lang w:val="en-US"/>
        </w:rPr>
        <w:t>模拟</w:t>
      </w:r>
      <w:r>
        <w:rPr>
          <w:rFonts w:hint="eastAsia"/>
          <w:spacing w:val="-10"/>
          <w:sz w:val="28"/>
          <w:szCs w:val="28"/>
        </w:rPr>
        <w:t>患者（</w:t>
      </w:r>
      <w:r>
        <w:rPr>
          <w:rFonts w:hint="eastAsia"/>
          <w:spacing w:val="-10"/>
          <w:sz w:val="28"/>
          <w:szCs w:val="28"/>
          <w:lang w:val="en-US"/>
        </w:rPr>
        <w:t>学生</w:t>
      </w:r>
      <w:r>
        <w:rPr>
          <w:rFonts w:hint="eastAsia"/>
          <w:spacing w:val="-10"/>
          <w:sz w:val="28"/>
          <w:szCs w:val="28"/>
        </w:rPr>
        <w:t>）</w:t>
      </w:r>
      <w:r>
        <w:rPr>
          <w:spacing w:val="-10"/>
          <w:sz w:val="28"/>
          <w:szCs w:val="28"/>
        </w:rPr>
        <w:t>，以进一步提高教学质量和教学效果，增强学生的整体护理理念，并提高专业技能考核成效。</w:t>
      </w:r>
    </w:p>
    <w:p>
      <w:pPr>
        <w:pStyle w:val="22"/>
        <w:tabs>
          <w:tab w:val="left" w:pos="829"/>
        </w:tabs>
        <w:spacing w:before="50" w:line="364" w:lineRule="auto"/>
        <w:ind w:right="232" w:firstLine="448"/>
        <w:rPr>
          <w:sz w:val="28"/>
          <w:szCs w:val="28"/>
        </w:rPr>
      </w:pPr>
      <w:r>
        <w:rPr>
          <w:rFonts w:hint="eastAsia"/>
          <w:spacing w:val="-8"/>
          <w:sz w:val="28"/>
          <w:szCs w:val="28"/>
          <w:lang w:val="en-US"/>
        </w:rPr>
        <w:t>4.</w:t>
      </w:r>
      <w:r>
        <w:rPr>
          <w:spacing w:val="-8"/>
          <w:sz w:val="28"/>
          <w:szCs w:val="28"/>
        </w:rPr>
        <w:t>参考书使用与编写：积极将《健康评估》与护士资格考证相结合</w:t>
      </w:r>
      <w:r>
        <w:rPr>
          <w:sz w:val="28"/>
          <w:szCs w:val="28"/>
        </w:rPr>
        <w:t>，编写健康评估习题集</w:t>
      </w:r>
      <w:r>
        <w:rPr>
          <w:rFonts w:hint="eastAsia"/>
          <w:sz w:val="28"/>
          <w:szCs w:val="28"/>
        </w:rPr>
        <w:t>一套</w:t>
      </w:r>
      <w:r>
        <w:rPr>
          <w:sz w:val="28"/>
          <w:szCs w:val="28"/>
        </w:rPr>
        <w:t>供师生</w:t>
      </w:r>
      <w:r>
        <w:rPr>
          <w:rFonts w:hint="eastAsia"/>
          <w:sz w:val="28"/>
          <w:szCs w:val="28"/>
        </w:rPr>
        <w:t>线上、线下教学、学习</w:t>
      </w:r>
      <w:r>
        <w:rPr>
          <w:sz w:val="28"/>
          <w:szCs w:val="28"/>
        </w:rPr>
        <w:t>使用。</w:t>
      </w:r>
    </w:p>
    <w:p>
      <w:pPr>
        <w:pStyle w:val="22"/>
        <w:tabs>
          <w:tab w:val="left" w:pos="829"/>
        </w:tabs>
        <w:spacing w:before="1" w:line="364" w:lineRule="auto"/>
        <w:ind w:right="112"/>
        <w:rPr>
          <w:sz w:val="28"/>
          <w:szCs w:val="28"/>
        </w:rPr>
      </w:pPr>
      <w:r>
        <w:rPr>
          <w:rFonts w:hint="eastAsia"/>
          <w:spacing w:val="-15"/>
          <w:sz w:val="28"/>
          <w:szCs w:val="28"/>
          <w:lang w:val="en-US"/>
        </w:rPr>
        <w:t>5.</w:t>
      </w:r>
      <w:r>
        <w:rPr>
          <w:spacing w:val="-15"/>
          <w:sz w:val="28"/>
          <w:szCs w:val="28"/>
        </w:rPr>
        <w:t xml:space="preserve">信息化应用：运用现代教育技术和仿真教学环境，优化教学过程。如采用多媒体教学， </w:t>
      </w:r>
      <w:r>
        <w:rPr>
          <w:spacing w:val="-9"/>
          <w:sz w:val="28"/>
          <w:szCs w:val="28"/>
        </w:rPr>
        <w:t>发挥网络、课件、视频、动画及校园希沃多媒体的作用，提高教学的直观性，通过运用网络教学平台，开展学生线上线下、课前中后的学习活动，丰富教学内容。</w:t>
      </w:r>
    </w:p>
    <w:p>
      <w:pPr>
        <w:pStyle w:val="22"/>
        <w:tabs>
          <w:tab w:val="left" w:pos="829"/>
        </w:tabs>
        <w:spacing w:line="360" w:lineRule="auto"/>
        <w:ind w:right="157" w:firstLine="476"/>
        <w:rPr>
          <w:spacing w:val="-1"/>
          <w:sz w:val="28"/>
          <w:szCs w:val="28"/>
          <w:lang w:val="en-US"/>
        </w:rPr>
      </w:pPr>
      <w:r>
        <w:rPr>
          <w:rFonts w:hint="eastAsia"/>
          <w:spacing w:val="-1"/>
          <w:sz w:val="28"/>
          <w:szCs w:val="28"/>
          <w:lang w:val="en-US"/>
        </w:rPr>
        <w:t>6.教研团队：《健康评估》教研组共有16人（专业教师15人，实训指导教师1人），其中高职称高学历7人，中级职称8人，初级职称1人。2020年成功立项省级课题1项《高职专业学院试点班“健康评估”课程教学研究》，市级课题1项《高职专业学院试点班“健康评估”</w:t>
      </w:r>
      <w:r>
        <w:rPr>
          <w:spacing w:val="-1"/>
          <w:sz w:val="28"/>
          <w:szCs w:val="28"/>
          <w:lang w:val="en-US"/>
        </w:rPr>
        <w:t>课程教学的设计与实施</w:t>
      </w:r>
      <w:r>
        <w:rPr>
          <w:rFonts w:hint="eastAsia"/>
          <w:spacing w:val="-1"/>
          <w:sz w:val="28"/>
          <w:szCs w:val="28"/>
          <w:lang w:val="en-US"/>
        </w:rPr>
        <w:t>》；2021年又成功立项市级课题1项</w:t>
      </w:r>
      <w:r>
        <w:rPr>
          <w:rFonts w:hint="eastAsia"/>
          <w:spacing w:val="-5"/>
          <w:sz w:val="28"/>
          <w:szCs w:val="28"/>
          <w:lang w:val="en-US"/>
        </w:rPr>
        <w:t>《基于工作手册式的“健康评估”校本教材开发与实施研究》</w:t>
      </w:r>
      <w:r>
        <w:rPr>
          <w:rFonts w:hint="eastAsia"/>
          <w:spacing w:val="-1"/>
          <w:sz w:val="28"/>
          <w:szCs w:val="28"/>
          <w:lang w:val="en-US"/>
        </w:rPr>
        <w:t>。课题围绕《健康评估》课程，对接高职扩招下课程和教学方法的改革，达到以研促教，以教促改的效果。</w:t>
      </w:r>
    </w:p>
    <w:p>
      <w:pPr>
        <w:pStyle w:val="22"/>
        <w:tabs>
          <w:tab w:val="left" w:pos="829"/>
        </w:tabs>
        <w:spacing w:line="360" w:lineRule="auto"/>
        <w:ind w:right="157" w:firstLine="476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val="en-US"/>
        </w:rPr>
        <w:t>7.</w:t>
      </w:r>
      <w:r>
        <w:rPr>
          <w:spacing w:val="-1"/>
          <w:sz w:val="28"/>
          <w:szCs w:val="28"/>
        </w:rPr>
        <w:t>学生团队：充分利用学校学生助教团队和自媒体团队。助教团队协作教学活动开展，</w:t>
      </w:r>
      <w:r>
        <w:rPr>
          <w:sz w:val="28"/>
          <w:szCs w:val="28"/>
        </w:rPr>
        <w:t>自媒体团队协作拍摄和剪辑教学视频资源。</w:t>
      </w:r>
    </w:p>
    <w:p>
      <w:pPr>
        <w:pStyle w:val="22"/>
        <w:numPr>
          <w:ilvl w:val="0"/>
          <w:numId w:val="3"/>
        </w:numPr>
        <w:spacing w:line="360" w:lineRule="auto"/>
        <w:ind w:firstLineChars="0"/>
        <w:rPr>
          <w:b/>
          <w:bCs/>
          <w:sz w:val="28"/>
          <w:szCs w:val="28"/>
        </w:rPr>
      </w:pPr>
      <w:bookmarkStart w:id="14" w:name="八、教学建议"/>
      <w:r>
        <w:rPr>
          <w:rFonts w:hint="eastAsia"/>
          <w:b/>
          <w:bCs/>
          <w:sz w:val="28"/>
          <w:szCs w:val="28"/>
        </w:rPr>
        <w:t>教学建议</w:t>
      </w:r>
    </w:p>
    <w:bookmarkEnd w:id="14"/>
    <w:p>
      <w:pPr>
        <w:tabs>
          <w:tab w:val="left" w:pos="948"/>
        </w:tabs>
        <w:spacing w:before="65" w:line="360" w:lineRule="auto"/>
        <w:ind w:right="157" w:firstLine="560" w:firstLineChars="200"/>
        <w:jc w:val="both"/>
        <w:rPr>
          <w:sz w:val="28"/>
          <w:szCs w:val="28"/>
        </w:rPr>
      </w:pPr>
      <w:bookmarkStart w:id="15" w:name="_TOC_250001"/>
      <w:bookmarkEnd w:id="15"/>
      <w:r>
        <w:rPr>
          <w:rFonts w:hint="eastAsia"/>
          <w:sz w:val="28"/>
          <w:szCs w:val="28"/>
        </w:rPr>
        <w:t>1.</w:t>
      </w:r>
      <w:r>
        <w:rPr>
          <w:sz w:val="28"/>
          <w:szCs w:val="28"/>
        </w:rPr>
        <w:t>本课程依据护理岗位的工作任务、职业能力要求，强化理论实践一体化，突出“做</w:t>
      </w:r>
      <w:r>
        <w:rPr>
          <w:spacing w:val="-1"/>
          <w:sz w:val="28"/>
          <w:szCs w:val="28"/>
        </w:rPr>
        <w:t>中学，学中做”职业教育特色和“工学结合，知行合一”的人才培养模式。根据培养目标、教学内容和学生的学习特点以及职业资格考核要求，提倡项目教学、案例教学、任务教学、</w:t>
      </w:r>
      <w:r>
        <w:rPr>
          <w:spacing w:val="-8"/>
          <w:sz w:val="28"/>
          <w:szCs w:val="28"/>
        </w:rPr>
        <w:t>角色扮演、情境教学等方法，利用校内外实训基地及网络教学平台，将学生的自主学习、合作学习和教师引导教学等教学组织形式有机结合。</w:t>
      </w:r>
    </w:p>
    <w:p>
      <w:pPr>
        <w:spacing w:line="360" w:lineRule="auto"/>
        <w:ind w:firstLine="556" w:firstLineChars="200"/>
        <w:rPr>
          <w:spacing w:val="-1"/>
          <w:sz w:val="28"/>
          <w:szCs w:val="28"/>
        </w:rPr>
      </w:pPr>
      <w:r>
        <w:rPr>
          <w:rFonts w:hint="eastAsia"/>
          <w:spacing w:val="-1"/>
          <w:sz w:val="28"/>
          <w:szCs w:val="28"/>
        </w:rPr>
        <w:t>2.教育信息化已成为“互联网＋”时代的新趋势，</w:t>
      </w:r>
      <w:r>
        <w:rPr>
          <w:rFonts w:hint="eastAsia"/>
          <w:spacing w:val="-1"/>
          <w:sz w:val="28"/>
          <w:szCs w:val="28"/>
          <w:lang w:val="en-US"/>
        </w:rPr>
        <w:t>新冠肺炎</w:t>
      </w:r>
      <w:r>
        <w:rPr>
          <w:rFonts w:hint="eastAsia"/>
          <w:spacing w:val="-1"/>
          <w:sz w:val="28"/>
          <w:szCs w:val="28"/>
        </w:rPr>
        <w:t>疫情下广泛应用多媒体教学和现代信息化技术，在教师引导下</w:t>
      </w:r>
      <w:r>
        <w:rPr>
          <w:rFonts w:hint="eastAsia"/>
          <w:spacing w:val="-1"/>
          <w:sz w:val="28"/>
          <w:szCs w:val="28"/>
          <w:lang w:val="en-US"/>
        </w:rPr>
        <w:t>进行</w:t>
      </w:r>
      <w:r>
        <w:rPr>
          <w:rFonts w:hint="eastAsia"/>
          <w:spacing w:val="-1"/>
          <w:sz w:val="28"/>
          <w:szCs w:val="28"/>
        </w:rPr>
        <w:t>以学生为主体</w:t>
      </w:r>
      <w:r>
        <w:rPr>
          <w:rFonts w:hint="eastAsia"/>
          <w:spacing w:val="-1"/>
          <w:sz w:val="28"/>
          <w:szCs w:val="28"/>
          <w:lang w:val="en-US"/>
        </w:rPr>
        <w:t>的线上、线下交互式</w:t>
      </w:r>
      <w:r>
        <w:rPr>
          <w:rFonts w:hint="eastAsia"/>
          <w:spacing w:val="-1"/>
          <w:sz w:val="28"/>
          <w:szCs w:val="28"/>
          <w:lang w:val="en-US" w:eastAsia="zh-CN"/>
        </w:rPr>
        <w:t>融合式</w:t>
      </w:r>
      <w:r>
        <w:rPr>
          <w:rFonts w:hint="eastAsia"/>
          <w:spacing w:val="-1"/>
          <w:sz w:val="28"/>
          <w:szCs w:val="28"/>
        </w:rPr>
        <w:t>教学活动。理论课引入行动导向教学理念，合理将小组讨论、</w:t>
      </w:r>
      <w:r>
        <w:rPr>
          <w:rFonts w:hint="eastAsia"/>
          <w:spacing w:val="-1"/>
          <w:sz w:val="28"/>
          <w:szCs w:val="28"/>
          <w:lang w:val="en-US"/>
        </w:rPr>
        <w:t>操作</w:t>
      </w:r>
      <w:r>
        <w:rPr>
          <w:rFonts w:hint="eastAsia"/>
          <w:spacing w:val="-1"/>
          <w:sz w:val="28"/>
          <w:szCs w:val="28"/>
        </w:rPr>
        <w:t>演示、任务驱动，情景模拟等教学方法引入到《健康评估》教学过程中，并充分应用云班课、钉钉、</w:t>
      </w:r>
      <w:r>
        <w:rPr>
          <w:rFonts w:hint="eastAsia"/>
          <w:spacing w:val="-1"/>
          <w:sz w:val="28"/>
          <w:szCs w:val="28"/>
          <w:lang w:val="en-US" w:eastAsia="zh-CN"/>
        </w:rPr>
        <w:t>云班课</w:t>
      </w:r>
      <w:r>
        <w:rPr>
          <w:rFonts w:hint="eastAsia"/>
          <w:spacing w:val="-1"/>
          <w:sz w:val="28"/>
          <w:szCs w:val="28"/>
        </w:rPr>
        <w:t>、微信、希沃班级优化大师、问卷星</w:t>
      </w:r>
      <w:r>
        <w:rPr>
          <w:rFonts w:hint="eastAsia"/>
          <w:spacing w:val="-1"/>
          <w:sz w:val="28"/>
          <w:szCs w:val="28"/>
          <w:lang w:eastAsia="zh-CN"/>
        </w:rPr>
        <w:t>、</w:t>
      </w:r>
      <w:r>
        <w:rPr>
          <w:rFonts w:hint="eastAsia"/>
          <w:spacing w:val="-1"/>
          <w:sz w:val="28"/>
          <w:szCs w:val="28"/>
          <w:lang w:val="en-US" w:eastAsia="zh-CN"/>
        </w:rPr>
        <w:t>腾讯文档多人协助</w:t>
      </w:r>
      <w:r>
        <w:rPr>
          <w:rFonts w:hint="eastAsia"/>
          <w:spacing w:val="-1"/>
          <w:sz w:val="28"/>
          <w:szCs w:val="28"/>
        </w:rPr>
        <w:t>等信息技术手段翻转课堂以丰富教学过程，提高教学效果；实训课运用高仿真模</w:t>
      </w:r>
      <w:r>
        <w:rPr>
          <w:rFonts w:hint="eastAsia"/>
          <w:spacing w:val="-1"/>
          <w:sz w:val="28"/>
          <w:szCs w:val="28"/>
          <w:lang w:val="en-US" w:eastAsia="zh-CN"/>
        </w:rPr>
        <w:t>型</w:t>
      </w:r>
      <w:r>
        <w:rPr>
          <w:rFonts w:hint="eastAsia"/>
          <w:spacing w:val="-1"/>
          <w:sz w:val="28"/>
          <w:szCs w:val="28"/>
        </w:rPr>
        <w:t>或者学生</w:t>
      </w:r>
      <w:r>
        <w:rPr>
          <w:rFonts w:hint="eastAsia"/>
          <w:spacing w:val="-1"/>
          <w:sz w:val="28"/>
          <w:szCs w:val="28"/>
          <w:lang w:val="en-US"/>
        </w:rPr>
        <w:t>扮演的模拟</w:t>
      </w:r>
      <w:r>
        <w:rPr>
          <w:rFonts w:hint="eastAsia"/>
          <w:spacing w:val="-1"/>
          <w:sz w:val="28"/>
          <w:szCs w:val="28"/>
        </w:rPr>
        <w:t>患者，通过</w:t>
      </w:r>
      <w:r>
        <w:rPr>
          <w:rFonts w:hint="eastAsia"/>
          <w:spacing w:val="-1"/>
          <w:sz w:val="28"/>
          <w:szCs w:val="28"/>
          <w:lang w:val="en-US"/>
        </w:rPr>
        <w:t>任务驱动</w:t>
      </w:r>
      <w:r>
        <w:rPr>
          <w:rFonts w:hint="eastAsia"/>
          <w:spacing w:val="-1"/>
          <w:sz w:val="28"/>
          <w:szCs w:val="28"/>
        </w:rPr>
        <w:t>教学、角色扮演、小组合作法等进行操作练习。除采用演示练习外，加入模拟演示、案例查房，社会实践等教学手段帮助学生应用知识，加强学习体验感，增强课堂教学的形象性和真实性。同时，采用线上线下</w:t>
      </w:r>
      <w:r>
        <w:rPr>
          <w:rFonts w:hint="eastAsia"/>
          <w:spacing w:val="-1"/>
          <w:sz w:val="28"/>
          <w:szCs w:val="28"/>
          <w:lang w:val="en-US"/>
        </w:rPr>
        <w:t>下交互式</w:t>
      </w:r>
      <w:r>
        <w:rPr>
          <w:rFonts w:hint="eastAsia"/>
          <w:spacing w:val="-1"/>
          <w:sz w:val="28"/>
          <w:szCs w:val="28"/>
        </w:rPr>
        <w:t>教学，实现学生课前、课中、课后随时随地学习、教师线上线下随时随地答疑互动，激发学生学习兴趣，全面掌握学生学习动态，及时调整教学方案，提高教学效果。</w:t>
      </w:r>
    </w:p>
    <w:p>
      <w:pPr>
        <w:spacing w:line="360" w:lineRule="auto"/>
        <w:ind w:left="562"/>
        <w:rPr>
          <w:b/>
          <w:bCs/>
          <w:sz w:val="28"/>
          <w:szCs w:val="28"/>
        </w:rPr>
      </w:pPr>
      <w:bookmarkStart w:id="16" w:name="_TOC_250000"/>
      <w:bookmarkEnd w:id="16"/>
      <w:bookmarkStart w:id="17" w:name="九、教学评价"/>
      <w:r>
        <w:rPr>
          <w:rFonts w:hint="eastAsia"/>
          <w:b/>
          <w:bCs/>
          <w:sz w:val="28"/>
          <w:szCs w:val="28"/>
        </w:rPr>
        <w:t>九、教学评价</w:t>
      </w:r>
    </w:p>
    <w:bookmarkEnd w:id="17"/>
    <w:p>
      <w:pPr>
        <w:tabs>
          <w:tab w:val="left" w:pos="948"/>
        </w:tabs>
        <w:spacing w:before="3" w:line="365" w:lineRule="auto"/>
        <w:ind w:right="232"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1.</w:t>
      </w:r>
      <w:r>
        <w:rPr>
          <w:sz w:val="28"/>
          <w:szCs w:val="28"/>
        </w:rPr>
        <w:t>按照教学大纲的要求进行，考核内容包括知识、技能、职业素养三方面</w:t>
      </w:r>
      <w:r>
        <w:rPr>
          <w:spacing w:val="-12"/>
          <w:sz w:val="28"/>
          <w:szCs w:val="28"/>
        </w:rPr>
        <w:t xml:space="preserve">，其中理论考试占总成绩的 </w:t>
      </w:r>
      <w:r>
        <w:rPr>
          <w:rFonts w:hint="eastAsia"/>
          <w:sz w:val="28"/>
          <w:szCs w:val="28"/>
          <w:lang w:val="en-US"/>
        </w:rPr>
        <w:t>4</w:t>
      </w:r>
      <w:r>
        <w:rPr>
          <w:sz w:val="28"/>
          <w:szCs w:val="28"/>
        </w:rPr>
        <w:t>0%</w:t>
      </w:r>
      <w:r>
        <w:rPr>
          <w:spacing w:val="-15"/>
          <w:sz w:val="28"/>
          <w:szCs w:val="28"/>
        </w:rPr>
        <w:t>、</w:t>
      </w:r>
      <w:r>
        <w:rPr>
          <w:spacing w:val="-6"/>
          <w:sz w:val="28"/>
          <w:szCs w:val="28"/>
        </w:rPr>
        <w:t xml:space="preserve">技能考核占总成绩的 </w:t>
      </w:r>
      <w:r>
        <w:rPr>
          <w:sz w:val="28"/>
          <w:szCs w:val="28"/>
        </w:rPr>
        <w:t>40%</w:t>
      </w:r>
      <w:r>
        <w:rPr>
          <w:spacing w:val="-5"/>
          <w:sz w:val="28"/>
          <w:szCs w:val="28"/>
        </w:rPr>
        <w:t xml:space="preserve">、职业素养考核占总成绩的 </w:t>
      </w:r>
      <w:r>
        <w:rPr>
          <w:rFonts w:hint="eastAsia"/>
          <w:sz w:val="28"/>
          <w:szCs w:val="28"/>
          <w:lang w:val="en-US"/>
        </w:rPr>
        <w:t>2</w:t>
      </w:r>
      <w:r>
        <w:rPr>
          <w:sz w:val="28"/>
          <w:szCs w:val="28"/>
        </w:rPr>
        <w:t>0%，</w:t>
      </w:r>
      <w:r>
        <w:rPr>
          <w:spacing w:val="-6"/>
          <w:sz w:val="28"/>
          <w:szCs w:val="28"/>
        </w:rPr>
        <w:t xml:space="preserve">未通过考核时，可补考 </w:t>
      </w:r>
      <w:r>
        <w:rPr>
          <w:sz w:val="28"/>
          <w:szCs w:val="28"/>
        </w:rPr>
        <w:t>2</w:t>
      </w:r>
      <w:r>
        <w:rPr>
          <w:spacing w:val="-20"/>
          <w:sz w:val="28"/>
          <w:szCs w:val="28"/>
        </w:rPr>
        <w:t xml:space="preserve"> 次。</w:t>
      </w:r>
      <w:r>
        <w:rPr>
          <w:sz w:val="28"/>
          <w:szCs w:val="28"/>
        </w:rPr>
        <w:t>教学过程中，可通过测验、观察记录、技能考核和理论考试等多种形式对学生的职</w:t>
      </w:r>
      <w:r>
        <w:rPr>
          <w:spacing w:val="-8"/>
          <w:sz w:val="28"/>
          <w:szCs w:val="28"/>
        </w:rPr>
        <w:t>业素养、专业知识和技能进行综合考评。应体现评价主体的多元化，评价过程的多元化，评价方式的多元化。评价内容不仅关注学生对知识的理解和技能的掌握，更要关注知识在护理</w:t>
      </w:r>
      <w:r>
        <w:rPr>
          <w:sz w:val="28"/>
          <w:szCs w:val="28"/>
        </w:rPr>
        <w:t>实践中运用与解决问题的能力水平，重视护士执业素质的形成。</w:t>
      </w:r>
    </w:p>
    <w:p>
      <w:pPr>
        <w:pStyle w:val="22"/>
        <w:tabs>
          <w:tab w:val="left" w:pos="829"/>
        </w:tabs>
        <w:spacing w:before="1" w:line="364" w:lineRule="auto"/>
        <w:ind w:right="232" w:firstLine="452"/>
        <w:jc w:val="both"/>
        <w:rPr>
          <w:sz w:val="28"/>
          <w:szCs w:val="28"/>
        </w:rPr>
      </w:pPr>
      <w:r>
        <w:rPr>
          <w:rFonts w:hint="eastAsia"/>
          <w:spacing w:val="-7"/>
          <w:sz w:val="28"/>
          <w:szCs w:val="28"/>
          <w:lang w:val="en-US"/>
        </w:rPr>
        <w:t>2.教学</w:t>
      </w:r>
      <w:r>
        <w:rPr>
          <w:spacing w:val="-5"/>
          <w:sz w:val="28"/>
          <w:szCs w:val="28"/>
        </w:rPr>
        <w:t>采用过程性评价和结果性评价相结合的评价体系，注重学生平时知识的积累和技能的</w:t>
      </w:r>
      <w:r>
        <w:rPr>
          <w:spacing w:val="-9"/>
          <w:sz w:val="28"/>
          <w:szCs w:val="28"/>
        </w:rPr>
        <w:t>培养，尤其加强学生发现问题、分析问题和解决问题能力评价，鼓励学生在知识的学习和应</w:t>
      </w:r>
      <w:r>
        <w:rPr>
          <w:sz w:val="28"/>
          <w:szCs w:val="28"/>
        </w:rPr>
        <w:t>用上有所创新。</w:t>
      </w:r>
      <w:r>
        <w:rPr>
          <w:rFonts w:hint="eastAsia"/>
          <w:spacing w:val="-9"/>
          <w:sz w:val="28"/>
          <w:szCs w:val="28"/>
        </w:rPr>
        <w:t>教学评价由两个核心部分组成，一是对课程教学工作（教学设计、组织、实施等）的评价，即教学评估（包括课堂与课外）；二是对学生学习效果的评价（包括课堂评价、理论与实践考试）。评价过程运用多</w:t>
      </w:r>
      <w:r>
        <w:rPr>
          <w:rFonts w:hint="eastAsia"/>
          <w:spacing w:val="-9"/>
          <w:sz w:val="28"/>
          <w:szCs w:val="28"/>
          <w:lang w:val="en-US"/>
        </w:rPr>
        <w:t>元</w:t>
      </w:r>
      <w:r>
        <w:rPr>
          <w:rFonts w:hint="eastAsia"/>
          <w:spacing w:val="-9"/>
          <w:sz w:val="28"/>
          <w:szCs w:val="28"/>
        </w:rPr>
        <w:t>评价手段（如：</w:t>
      </w:r>
      <w:r>
        <w:rPr>
          <w:rFonts w:hint="eastAsia"/>
          <w:spacing w:val="-9"/>
          <w:sz w:val="28"/>
          <w:szCs w:val="28"/>
          <w:lang w:val="en-US"/>
        </w:rPr>
        <w:t>学生</w:t>
      </w:r>
      <w:r>
        <w:rPr>
          <w:rFonts w:hint="eastAsia"/>
          <w:spacing w:val="-9"/>
          <w:sz w:val="28"/>
          <w:szCs w:val="28"/>
        </w:rPr>
        <w:t>自评、互评、他评）对上述两部分进行综合评价，并贯穿整个教学研究活动。如：对课程教学工作评价主要由教师自评及他评完成，借助讨论与分析、公开课等形式完成；学生学习效果评价由学生通过课堂评价及理论与实践考试完成。</w:t>
      </w:r>
    </w:p>
    <w:p>
      <w:pPr>
        <w:pStyle w:val="22"/>
        <w:tabs>
          <w:tab w:val="left" w:pos="829"/>
        </w:tabs>
        <w:spacing w:before="1" w:line="364" w:lineRule="auto"/>
        <w:ind w:right="232" w:firstLine="460"/>
        <w:jc w:val="both"/>
        <w:rPr>
          <w:rFonts w:hint="eastAsia"/>
          <w:spacing w:val="-10"/>
          <w:sz w:val="28"/>
          <w:szCs w:val="28"/>
        </w:rPr>
      </w:pPr>
      <w:r>
        <w:rPr>
          <w:rFonts w:hint="eastAsia"/>
          <w:spacing w:val="-5"/>
          <w:sz w:val="28"/>
          <w:szCs w:val="28"/>
          <w:lang w:val="en-US"/>
        </w:rPr>
        <w:t>3.</w:t>
      </w:r>
      <w:r>
        <w:rPr>
          <w:spacing w:val="-9"/>
          <w:sz w:val="28"/>
          <w:szCs w:val="28"/>
        </w:rPr>
        <w:t xml:space="preserve">《健康评估》 设置 </w:t>
      </w:r>
      <w:r>
        <w:rPr>
          <w:sz w:val="28"/>
          <w:szCs w:val="28"/>
        </w:rPr>
        <w:t>3</w:t>
      </w:r>
      <w:r>
        <w:rPr>
          <w:spacing w:val="-10"/>
          <w:sz w:val="28"/>
          <w:szCs w:val="28"/>
        </w:rPr>
        <w:t xml:space="preserve"> 学分，学生考核通过可获得相应学分，考核成绩计入学籍档案。</w:t>
      </w:r>
    </w:p>
    <w:sectPr>
      <w:footerReference r:id="rId5" w:type="default"/>
      <w:pgSz w:w="11906" w:h="16838"/>
      <w:pgMar w:top="1440" w:right="1416" w:bottom="1440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7812601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- 1 -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63993"/>
    <w:multiLevelType w:val="singleLevel"/>
    <w:tmpl w:val="B2A63993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F945B2F8"/>
    <w:multiLevelType w:val="singleLevel"/>
    <w:tmpl w:val="F945B2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0A46E8"/>
    <w:multiLevelType w:val="multilevel"/>
    <w:tmpl w:val="420A46E8"/>
    <w:lvl w:ilvl="0" w:tentative="0">
      <w:start w:val="8"/>
      <w:numFmt w:val="japaneseCounting"/>
      <w:lvlText w:val="%1、"/>
      <w:lvlJc w:val="left"/>
      <w:pPr>
        <w:ind w:left="1142" w:hanging="5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5B"/>
    <w:rsid w:val="00025B94"/>
    <w:rsid w:val="00044C86"/>
    <w:rsid w:val="00066CCC"/>
    <w:rsid w:val="00075059"/>
    <w:rsid w:val="0008260B"/>
    <w:rsid w:val="000A0F0A"/>
    <w:rsid w:val="000B3518"/>
    <w:rsid w:val="000C2175"/>
    <w:rsid w:val="000D1279"/>
    <w:rsid w:val="001504EF"/>
    <w:rsid w:val="00161994"/>
    <w:rsid w:val="00195254"/>
    <w:rsid w:val="001979DA"/>
    <w:rsid w:val="001A0D96"/>
    <w:rsid w:val="001A40DB"/>
    <w:rsid w:val="001B33AD"/>
    <w:rsid w:val="001B647F"/>
    <w:rsid w:val="002335F4"/>
    <w:rsid w:val="00285309"/>
    <w:rsid w:val="00287857"/>
    <w:rsid w:val="00296362"/>
    <w:rsid w:val="002A5309"/>
    <w:rsid w:val="002B7589"/>
    <w:rsid w:val="002F2E39"/>
    <w:rsid w:val="0030132D"/>
    <w:rsid w:val="0030331F"/>
    <w:rsid w:val="00310BE7"/>
    <w:rsid w:val="00325177"/>
    <w:rsid w:val="003625AE"/>
    <w:rsid w:val="00364172"/>
    <w:rsid w:val="00372656"/>
    <w:rsid w:val="00372E50"/>
    <w:rsid w:val="003B6744"/>
    <w:rsid w:val="003D7541"/>
    <w:rsid w:val="003F5D3C"/>
    <w:rsid w:val="00405D07"/>
    <w:rsid w:val="0041385A"/>
    <w:rsid w:val="00434BA8"/>
    <w:rsid w:val="0044733A"/>
    <w:rsid w:val="00466986"/>
    <w:rsid w:val="004819A0"/>
    <w:rsid w:val="004A23AD"/>
    <w:rsid w:val="004B6F1F"/>
    <w:rsid w:val="004D7EE6"/>
    <w:rsid w:val="0051662E"/>
    <w:rsid w:val="00535F5A"/>
    <w:rsid w:val="00537396"/>
    <w:rsid w:val="00593EF2"/>
    <w:rsid w:val="00603D5C"/>
    <w:rsid w:val="00605BF0"/>
    <w:rsid w:val="00684E60"/>
    <w:rsid w:val="006B77D2"/>
    <w:rsid w:val="006C28C4"/>
    <w:rsid w:val="006D0702"/>
    <w:rsid w:val="006F3385"/>
    <w:rsid w:val="0074485F"/>
    <w:rsid w:val="00747358"/>
    <w:rsid w:val="00763B14"/>
    <w:rsid w:val="007C7068"/>
    <w:rsid w:val="007E18FB"/>
    <w:rsid w:val="007E4DF8"/>
    <w:rsid w:val="008066E3"/>
    <w:rsid w:val="00813864"/>
    <w:rsid w:val="00822C57"/>
    <w:rsid w:val="008512A3"/>
    <w:rsid w:val="00864351"/>
    <w:rsid w:val="0087038B"/>
    <w:rsid w:val="00884BE7"/>
    <w:rsid w:val="008873FE"/>
    <w:rsid w:val="008978A2"/>
    <w:rsid w:val="00927790"/>
    <w:rsid w:val="009305B2"/>
    <w:rsid w:val="00952F8A"/>
    <w:rsid w:val="00957A84"/>
    <w:rsid w:val="009970D0"/>
    <w:rsid w:val="009D5337"/>
    <w:rsid w:val="009E7911"/>
    <w:rsid w:val="00A022BB"/>
    <w:rsid w:val="00A03D40"/>
    <w:rsid w:val="00A35CAE"/>
    <w:rsid w:val="00A360F2"/>
    <w:rsid w:val="00A37EAC"/>
    <w:rsid w:val="00A76B8F"/>
    <w:rsid w:val="00A93C59"/>
    <w:rsid w:val="00AB6F93"/>
    <w:rsid w:val="00AE7F69"/>
    <w:rsid w:val="00B020B1"/>
    <w:rsid w:val="00B61320"/>
    <w:rsid w:val="00BE2537"/>
    <w:rsid w:val="00BE599F"/>
    <w:rsid w:val="00C033DB"/>
    <w:rsid w:val="00C16F0F"/>
    <w:rsid w:val="00C3727E"/>
    <w:rsid w:val="00C46011"/>
    <w:rsid w:val="00CA171C"/>
    <w:rsid w:val="00CA5253"/>
    <w:rsid w:val="00CE7C9C"/>
    <w:rsid w:val="00D037B0"/>
    <w:rsid w:val="00D228EF"/>
    <w:rsid w:val="00D234F7"/>
    <w:rsid w:val="00D31213"/>
    <w:rsid w:val="00D33E81"/>
    <w:rsid w:val="00D50AC2"/>
    <w:rsid w:val="00D52E4D"/>
    <w:rsid w:val="00D63510"/>
    <w:rsid w:val="00D72A18"/>
    <w:rsid w:val="00DC513C"/>
    <w:rsid w:val="00DF2279"/>
    <w:rsid w:val="00DF4874"/>
    <w:rsid w:val="00E73015"/>
    <w:rsid w:val="00EB029A"/>
    <w:rsid w:val="00EE42FB"/>
    <w:rsid w:val="00EE7CED"/>
    <w:rsid w:val="00F0065B"/>
    <w:rsid w:val="00F06035"/>
    <w:rsid w:val="00F85A75"/>
    <w:rsid w:val="00F953D4"/>
    <w:rsid w:val="00FA7D5F"/>
    <w:rsid w:val="00FB2D7B"/>
    <w:rsid w:val="00FB4FC4"/>
    <w:rsid w:val="00FE06AC"/>
    <w:rsid w:val="00FF198C"/>
    <w:rsid w:val="061B4BFB"/>
    <w:rsid w:val="0A903C18"/>
    <w:rsid w:val="0B04203E"/>
    <w:rsid w:val="0C6662A2"/>
    <w:rsid w:val="0D222410"/>
    <w:rsid w:val="0D313951"/>
    <w:rsid w:val="0E4A179B"/>
    <w:rsid w:val="0E8F70D1"/>
    <w:rsid w:val="10A43F90"/>
    <w:rsid w:val="12353A5A"/>
    <w:rsid w:val="132028AB"/>
    <w:rsid w:val="14044E22"/>
    <w:rsid w:val="176454B4"/>
    <w:rsid w:val="17EF0F38"/>
    <w:rsid w:val="18FC5B0B"/>
    <w:rsid w:val="1E31623E"/>
    <w:rsid w:val="207534A6"/>
    <w:rsid w:val="215451F6"/>
    <w:rsid w:val="24330E6C"/>
    <w:rsid w:val="25BD6BE5"/>
    <w:rsid w:val="2682390B"/>
    <w:rsid w:val="27142477"/>
    <w:rsid w:val="27711778"/>
    <w:rsid w:val="28E11D08"/>
    <w:rsid w:val="2B263DE9"/>
    <w:rsid w:val="2C1E3AB7"/>
    <w:rsid w:val="2C3F3265"/>
    <w:rsid w:val="2C8A53E4"/>
    <w:rsid w:val="2D85565A"/>
    <w:rsid w:val="2EFF000F"/>
    <w:rsid w:val="37F204CB"/>
    <w:rsid w:val="39F25FF6"/>
    <w:rsid w:val="3E3E439C"/>
    <w:rsid w:val="3F1819E2"/>
    <w:rsid w:val="40226457"/>
    <w:rsid w:val="41A03CEE"/>
    <w:rsid w:val="41D353C2"/>
    <w:rsid w:val="428A7226"/>
    <w:rsid w:val="43114AC3"/>
    <w:rsid w:val="43BB64D4"/>
    <w:rsid w:val="450C2390"/>
    <w:rsid w:val="47555CA6"/>
    <w:rsid w:val="49D82C41"/>
    <w:rsid w:val="49F62141"/>
    <w:rsid w:val="4B681720"/>
    <w:rsid w:val="4BC00267"/>
    <w:rsid w:val="5242343B"/>
    <w:rsid w:val="539C7C85"/>
    <w:rsid w:val="5495268C"/>
    <w:rsid w:val="5E714605"/>
    <w:rsid w:val="5E810274"/>
    <w:rsid w:val="5F115347"/>
    <w:rsid w:val="60FF43CC"/>
    <w:rsid w:val="674A7E02"/>
    <w:rsid w:val="6CD95C5C"/>
    <w:rsid w:val="6E34223B"/>
    <w:rsid w:val="6ED03CF3"/>
    <w:rsid w:val="6F210EB6"/>
    <w:rsid w:val="6F3D505B"/>
    <w:rsid w:val="6F487F99"/>
    <w:rsid w:val="6FA56C85"/>
    <w:rsid w:val="6FA700F4"/>
    <w:rsid w:val="736F719D"/>
    <w:rsid w:val="74B87980"/>
    <w:rsid w:val="74E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link w:val="19"/>
    <w:qFormat/>
    <w:uiPriority w:val="1"/>
    <w:pPr>
      <w:jc w:val="center"/>
      <w:outlineLvl w:val="0"/>
    </w:pPr>
    <w:rPr>
      <w:b/>
      <w:bCs/>
      <w:sz w:val="44"/>
      <w:szCs w:val="44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  <w:szCs w:val="20"/>
    </w:rPr>
  </w:style>
  <w:style w:type="paragraph" w:styleId="3">
    <w:name w:val="Body Text"/>
    <w:basedOn w:val="1"/>
    <w:link w:val="20"/>
    <w:qFormat/>
    <w:uiPriority w:val="1"/>
    <w:rPr>
      <w:sz w:val="24"/>
      <w:szCs w:val="24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1"/>
    <w:pPr>
      <w:spacing w:before="265"/>
      <w:ind w:right="1462"/>
      <w:jc w:val="right"/>
    </w:pPr>
    <w:rPr>
      <w:b/>
      <w:bCs/>
      <w:sz w:val="28"/>
      <w:szCs w:val="28"/>
    </w:rPr>
  </w:style>
  <w:style w:type="paragraph" w:styleId="10">
    <w:name w:val="toc 2"/>
    <w:basedOn w:val="1"/>
    <w:next w:val="1"/>
    <w:qFormat/>
    <w:uiPriority w:val="1"/>
    <w:pPr>
      <w:spacing w:before="265"/>
      <w:ind w:right="1460"/>
      <w:jc w:val="right"/>
    </w:pPr>
    <w:rPr>
      <w:sz w:val="28"/>
      <w:szCs w:val="2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4"/>
    <w:qFormat/>
    <w:uiPriority w:val="1"/>
    <w:rPr>
      <w:rFonts w:ascii="宋体" w:hAnsi="宋体" w:eastAsia="宋体" w:cs="宋体"/>
      <w:b/>
      <w:bCs/>
      <w:kern w:val="0"/>
      <w:sz w:val="44"/>
      <w:szCs w:val="44"/>
      <w:lang w:val="zh-CN" w:bidi="zh-CN"/>
    </w:rPr>
  </w:style>
  <w:style w:type="character" w:customStyle="1" w:styleId="20">
    <w:name w:val="正文文本 字符"/>
    <w:basedOn w:val="14"/>
    <w:link w:val="3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character" w:customStyle="1" w:styleId="21">
    <w:name w:val="标题 2 字符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val="zh-CN" w:bidi="zh-CN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4"/>
    <w:link w:val="6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7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3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1C9BE-45B2-4C04-8D4D-0B89618FA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1573</Words>
  <Characters>8969</Characters>
  <Lines>74</Lines>
  <Paragraphs>21</Paragraphs>
  <TotalTime>4</TotalTime>
  <ScaleCrop>false</ScaleCrop>
  <LinksUpToDate>false</LinksUpToDate>
  <CharactersWithSpaces>10521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2020-09-13T09:40:00Z</dcterms:created>
  <dc:creator>HYWX-002</dc:creator>
  <cp:lastModifiedBy>JWK01</cp:lastModifiedBy>
  <cp:lastPrinted>2021-10-12T13:37:10Z</cp:lastPrinted>
  <dcterms:modified xsi:type="dcterms:W3CDTF">2021-10-12T13:43:20Z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359470C8A18146629F81ABD1CBB680C9</vt:lpwstr>
  </property>
</Properties>
</file>