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autoSpaceDE w:val="0"/>
        <w:autoSpaceDN w:val="0"/>
        <w:spacing w:line="560" w:lineRule="exact"/>
        <w:jc w:val="left"/>
        <w:rPr>
          <w:rFonts w:ascii="Times New Roman" w:hAnsi="Times New Roman" w:eastAsia="黑体" w:cs="Times New Roman"/>
          <w:kern w:val="0"/>
          <w:sz w:val="32"/>
          <w:szCs w:val="32"/>
        </w:rPr>
      </w:pPr>
      <w:r>
        <w:rPr>
          <w:rFonts w:ascii="Times New Roman" w:hAnsi="Times New Roman" w:eastAsia="黑体" w:cs="Times New Roman"/>
          <w:kern w:val="0"/>
          <w:sz w:val="32"/>
          <w:szCs w:val="32"/>
          <w:lang w:val="en-US" w:bidi="ar-SA"/>
        </w:rPr>
        <w:drawing>
          <wp:anchor distT="0" distB="0" distL="0" distR="0" simplePos="0" relativeHeight="251661312" behindDoc="1" locked="0" layoutInCell="0" allowOverlap="1">
            <wp:simplePos x="0" y="0"/>
            <wp:positionH relativeFrom="column">
              <wp:posOffset>34290</wp:posOffset>
            </wp:positionH>
            <wp:positionV relativeFrom="paragraph">
              <wp:posOffset>-709295</wp:posOffset>
            </wp:positionV>
            <wp:extent cx="495300" cy="495300"/>
            <wp:effectExtent l="0" t="0" r="0" b="0"/>
            <wp:wrapNone/>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noChangeArrowheads="1"/>
                    </pic:cNvPicPr>
                  </pic:nvPicPr>
                  <pic:blipFill>
                    <a:blip r:embed="rId7"/>
                    <a:srcRect l="-146" t="-146" r="-146" b="-146"/>
                    <a:stretch>
                      <a:fillRect/>
                    </a:stretch>
                  </pic:blipFill>
                  <pic:spPr>
                    <a:xfrm>
                      <a:off x="0" y="0"/>
                      <a:ext cx="495300" cy="495300"/>
                    </a:xfrm>
                    <a:prstGeom prst="rect">
                      <a:avLst/>
                    </a:prstGeom>
                  </pic:spPr>
                </pic:pic>
              </a:graphicData>
            </a:graphic>
          </wp:anchor>
        </w:drawing>
      </w:r>
      <w:r>
        <w:rPr>
          <w:rFonts w:ascii="Times New Roman" w:hAnsi="Times New Roman" w:eastAsia="黑体" w:cs="Times New Roman"/>
          <w:kern w:val="0"/>
          <w:sz w:val="32"/>
          <w:szCs w:val="32"/>
        </w:rPr>
        <w:t>附件9-</w:t>
      </w:r>
      <w:r>
        <w:rPr>
          <w:lang w:val="en-US" w:bidi="ar-SA"/>
        </w:rPr>
        <w:drawing>
          <wp:anchor distT="0" distB="0" distL="0" distR="0" simplePos="0" relativeHeight="251662336" behindDoc="1" locked="0" layoutInCell="0" allowOverlap="1">
            <wp:simplePos x="0" y="0"/>
            <wp:positionH relativeFrom="column">
              <wp:posOffset>643255</wp:posOffset>
            </wp:positionH>
            <wp:positionV relativeFrom="paragraph">
              <wp:posOffset>-659130</wp:posOffset>
            </wp:positionV>
            <wp:extent cx="1800860" cy="38354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srcRect l="-40" t="-188" r="-40" b="-188"/>
                    <a:stretch>
                      <a:fillRect/>
                    </a:stretch>
                  </pic:blipFill>
                  <pic:spPr>
                    <a:xfrm>
                      <a:off x="0" y="0"/>
                      <a:ext cx="1800860" cy="383540"/>
                    </a:xfrm>
                    <a:prstGeom prst="rect">
                      <a:avLst/>
                    </a:prstGeom>
                  </pic:spPr>
                </pic:pic>
              </a:graphicData>
            </a:graphic>
          </wp:anchor>
        </w:drawing>
      </w:r>
      <w:r>
        <w:rPr>
          <w:rFonts w:ascii="Times New Roman" w:hAnsi="Times New Roman" w:eastAsia="黑体" w:cs="Times New Roman"/>
          <w:kern w:val="0"/>
          <w:sz w:val="32"/>
          <w:szCs w:val="32"/>
        </w:rPr>
        <w:t>3</w:t>
      </w:r>
    </w:p>
    <w:p>
      <w:pPr>
        <w:pStyle w:val="5"/>
        <w:autoSpaceDE w:val="0"/>
        <w:autoSpaceDN w:val="0"/>
        <w:spacing w:line="560" w:lineRule="exact"/>
        <w:jc w:val="left"/>
        <w:rPr>
          <w:rFonts w:ascii="Times New Roman" w:hAnsi="Times New Roman" w:eastAsia="黑体" w:cs="Times New Roman"/>
          <w:kern w:val="0"/>
          <w:sz w:val="32"/>
          <w:szCs w:val="32"/>
        </w:rPr>
      </w:pPr>
    </w:p>
    <w:p>
      <w:pPr>
        <w:jc w:val="center"/>
        <w:rPr>
          <w:rFonts w:ascii="方正小标宋简体;微软雅黑" w:hAnsi="方正小标宋简体;微软雅黑" w:eastAsia="方正小标宋简体;微软雅黑" w:cs="宋体;SimSun"/>
          <w:sz w:val="72"/>
          <w:szCs w:val="72"/>
          <w:lang w:val="zh-CN"/>
        </w:rPr>
      </w:pPr>
    </w:p>
    <w:p>
      <w:pPr>
        <w:jc w:val="center"/>
        <w:rPr>
          <w:rFonts w:ascii="方正小标宋简体;微软雅黑" w:hAnsi="方正小标宋简体;微软雅黑" w:eastAsia="方正小标宋简体;微软雅黑" w:cs="宋体;SimSun"/>
          <w:sz w:val="44"/>
          <w:szCs w:val="44"/>
        </w:rPr>
      </w:pPr>
    </w:p>
    <w:p>
      <w:pPr>
        <w:jc w:val="center"/>
        <w:rPr>
          <w:rFonts w:ascii="方正小标宋简体;微软雅黑" w:hAnsi="方正小标宋简体;微软雅黑" w:eastAsia="方正小标宋简体;微软雅黑" w:cs="宋体;SimSun"/>
          <w:sz w:val="44"/>
          <w:szCs w:val="44"/>
        </w:rPr>
      </w:pPr>
    </w:p>
    <w:p>
      <w:pPr>
        <w:spacing w:line="760" w:lineRule="exact"/>
        <w:jc w:val="center"/>
        <w:rPr>
          <w:rFonts w:ascii="方正小标宋简体" w:hAnsi="方正小标宋简体" w:eastAsia="方正小标宋简体" w:cs="方正小标宋简体"/>
          <w:color w:val="000000"/>
          <w:kern w:val="0"/>
          <w:sz w:val="44"/>
          <w:szCs w:val="44"/>
        </w:rPr>
      </w:pPr>
      <w:r>
        <w:rPr>
          <w:rFonts w:ascii="方正小标宋简体" w:hAnsi="方正小标宋简体" w:eastAsia="方正小标宋简体" w:cs="方正小标宋简体"/>
          <w:color w:val="000000"/>
          <w:kern w:val="0"/>
          <w:sz w:val="44"/>
          <w:szCs w:val="44"/>
        </w:rPr>
        <w:t>2021年省中职质量工程示范性</w:t>
      </w:r>
    </w:p>
    <w:p>
      <w:pPr>
        <w:spacing w:line="760" w:lineRule="exact"/>
        <w:jc w:val="center"/>
        <w:rPr>
          <w:rFonts w:ascii="方正小标宋简体" w:hAnsi="方正小标宋简体" w:eastAsia="方正小标宋简体" w:cs="方正小标宋简体"/>
          <w:color w:val="000000"/>
          <w:kern w:val="0"/>
          <w:sz w:val="44"/>
          <w:szCs w:val="44"/>
        </w:rPr>
      </w:pPr>
      <w:r>
        <w:rPr>
          <w:rFonts w:ascii="方正小标宋简体" w:hAnsi="方正小标宋简体" w:eastAsia="方正小标宋简体" w:cs="方正小标宋简体"/>
          <w:color w:val="000000"/>
          <w:kern w:val="0"/>
          <w:sz w:val="44"/>
          <w:szCs w:val="44"/>
        </w:rPr>
        <w:t>虚拟仿真实训基地</w:t>
      </w:r>
    </w:p>
    <w:p>
      <w:pPr>
        <w:jc w:val="center"/>
        <w:rPr>
          <w:rFonts w:ascii="方正小标宋简体;微软雅黑" w:hAnsi="方正小标宋简体;微软雅黑" w:eastAsia="方正小标宋简体;微软雅黑" w:cs="方正小标宋简体;微软雅黑"/>
          <w:sz w:val="44"/>
          <w:szCs w:val="44"/>
        </w:rPr>
      </w:pPr>
    </w:p>
    <w:p>
      <w:pPr>
        <w:jc w:val="center"/>
        <w:rPr>
          <w:rFonts w:ascii="方正小标宋简体;微软雅黑" w:hAnsi="方正小标宋简体;微软雅黑" w:eastAsia="方正小标宋简体;微软雅黑" w:cs="方正小标宋简体;微软雅黑"/>
          <w:sz w:val="84"/>
          <w:szCs w:val="84"/>
        </w:rPr>
      </w:pPr>
      <w:r>
        <w:rPr>
          <w:rFonts w:ascii="方正小标宋简体;微软雅黑" w:hAnsi="方正小标宋简体;微软雅黑" w:eastAsia="方正小标宋简体;微软雅黑" w:cs="方正小标宋简体;微软雅黑"/>
          <w:sz w:val="84"/>
          <w:szCs w:val="84"/>
        </w:rPr>
        <w:t>建设方案</w:t>
      </w:r>
    </w:p>
    <w:p>
      <w:pPr>
        <w:jc w:val="left"/>
        <w:rPr>
          <w:rFonts w:ascii="宋体;SimSun" w:hAnsi="宋体;SimSun" w:eastAsia="方正小标宋简体;微软雅黑" w:cs="宋体;SimSun"/>
          <w:sz w:val="72"/>
          <w:szCs w:val="72"/>
          <w:lang w:val="zh-CN"/>
        </w:rPr>
      </w:pPr>
      <w:r>
        <w:rPr>
          <w:rFonts w:ascii="宋体;SimSun" w:hAnsi="宋体;SimSun" w:eastAsia="方正小标宋简体;微软雅黑" w:cs="宋体;SimSun"/>
          <w:sz w:val="72"/>
          <w:szCs w:val="72"/>
        </w:rPr>
        <w:drawing>
          <wp:anchor distT="0" distB="0" distL="0" distR="0" simplePos="0" relativeHeight="251663360" behindDoc="1" locked="0" layoutInCell="0" allowOverlap="1">
            <wp:simplePos x="0" y="0"/>
            <wp:positionH relativeFrom="column">
              <wp:posOffset>-695325</wp:posOffset>
            </wp:positionH>
            <wp:positionV relativeFrom="page">
              <wp:posOffset>5974715</wp:posOffset>
            </wp:positionV>
            <wp:extent cx="7560310" cy="4319905"/>
            <wp:effectExtent l="0" t="0" r="0" b="0"/>
            <wp:wrapNone/>
            <wp:docPr id="4"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2"/>
                    <pic:cNvPicPr>
                      <a:picLocks noChangeAspect="1" noChangeArrowheads="1"/>
                    </pic:cNvPicPr>
                  </pic:nvPicPr>
                  <pic:blipFill>
                    <a:blip r:embed="rId9"/>
                    <a:srcRect l="-8" t="-13" r="-8" b="-13"/>
                    <a:stretch>
                      <a:fillRect/>
                    </a:stretch>
                  </pic:blipFill>
                  <pic:spPr>
                    <a:xfrm>
                      <a:off x="0" y="0"/>
                      <a:ext cx="7560310" cy="4319905"/>
                    </a:xfrm>
                    <a:prstGeom prst="rect">
                      <a:avLst/>
                    </a:prstGeom>
                  </pic:spPr>
                </pic:pic>
              </a:graphicData>
            </a:graphic>
          </wp:anchor>
        </w:drawing>
      </w:r>
    </w:p>
    <w:p>
      <w:pPr>
        <w:jc w:val="center"/>
        <w:rPr>
          <w:rFonts w:ascii="宋体;SimSun" w:hAnsi="宋体;SimSun" w:cs="宋体;SimSun"/>
          <w:sz w:val="72"/>
          <w:szCs w:val="72"/>
        </w:rPr>
      </w:pPr>
    </w:p>
    <w:p>
      <w:pPr>
        <w:jc w:val="center"/>
        <w:rPr>
          <w:rFonts w:ascii="宋体;SimSun" w:hAnsi="宋体;SimSun" w:cs="宋体;SimSun"/>
          <w:sz w:val="72"/>
          <w:szCs w:val="72"/>
        </w:rPr>
      </w:pPr>
    </w:p>
    <w:p>
      <w:pPr>
        <w:jc w:val="center"/>
        <w:rPr>
          <w:rFonts w:ascii="Calibri" w:hAnsi="Calibri" w:cs="Calibri"/>
          <w:szCs w:val="24"/>
        </w:rPr>
      </w:pPr>
      <w:r>
        <w:rPr>
          <w:rFonts w:ascii="方正小标宋简体;微软雅黑" w:hAnsi="方正小标宋简体;微软雅黑" w:eastAsia="方正小标宋简体;微软雅黑" w:cs="方正小标宋简体;微软雅黑"/>
          <w:sz w:val="36"/>
          <w:szCs w:val="36"/>
        </w:rPr>
        <w:t>河源理工学校</w:t>
      </w:r>
    </w:p>
    <w:p>
      <w:pPr>
        <w:jc w:val="center"/>
        <w:rPr>
          <w:rFonts w:ascii="方正小标宋简体;微软雅黑" w:hAnsi="方正小标宋简体;微软雅黑" w:eastAsia="方正小标宋简体;微软雅黑" w:cs="方正小标宋简体;微软雅黑"/>
          <w:sz w:val="36"/>
          <w:szCs w:val="36"/>
        </w:rPr>
      </w:pPr>
      <w:r>
        <w:rPr>
          <w:rFonts w:ascii="方正小标宋简体;微软雅黑" w:hAnsi="方正小标宋简体;微软雅黑" w:eastAsia="方正小标宋简体;微软雅黑" w:cs="方正小标宋简体;微软雅黑"/>
          <w:sz w:val="36"/>
          <w:szCs w:val="36"/>
        </w:rPr>
        <w:t>2021年10月</w:t>
      </w:r>
    </w:p>
    <w:p>
      <w:pPr>
        <w:jc w:val="left"/>
        <w:rPr>
          <w:rFonts w:ascii="宋体;SimSun" w:hAnsi="宋体;SimSun" w:eastAsia="方正小标宋简体;微软雅黑" w:cs="宋体;SimSun"/>
          <w:sz w:val="72"/>
          <w:szCs w:val="72"/>
        </w:rPr>
      </w:pPr>
    </w:p>
    <w:p>
      <w:pPr>
        <w:rPr>
          <w:rFonts w:ascii="宋体;SimSun" w:hAnsi="宋体;SimSun" w:cs="宋体;SimSun"/>
          <w:sz w:val="72"/>
          <w:szCs w:val="72"/>
        </w:rPr>
      </w:pPr>
    </w:p>
    <w:p>
      <w:pPr>
        <w:jc w:val="center"/>
        <w:rPr>
          <w:rFonts w:ascii="宋体;SimSun" w:hAnsi="宋体;SimSun" w:cs="宋体;SimSun"/>
          <w:sz w:val="44"/>
          <w:szCs w:val="44"/>
        </w:rPr>
      </w:pPr>
      <w:r>
        <w:rPr>
          <w:rFonts w:ascii="宋体;SimSun" w:hAnsi="宋体;SimSun" w:cs="宋体;SimSun"/>
          <w:sz w:val="44"/>
          <w:szCs w:val="44"/>
        </w:rPr>
        <w:t>目录</w:t>
      </w:r>
    </w:p>
    <w:sdt>
      <w:sdtPr>
        <w:id w:val="1109161394"/>
        <w:docPartObj>
          <w:docPartGallery w:val="Table of Contents"/>
          <w:docPartUnique/>
        </w:docPartObj>
      </w:sdtPr>
      <w:sdtContent>
        <w:p>
          <w:pPr>
            <w:pStyle w:val="14"/>
            <w:tabs>
              <w:tab w:val="right" w:leader="dot" w:pos="9026"/>
              <w:tab w:val="clear" w:pos="9016"/>
            </w:tabs>
            <w:spacing w:line="240" w:lineRule="auto"/>
          </w:pPr>
          <w:r>
            <w:fldChar w:fldCharType="begin"/>
          </w:r>
          <w:r>
            <w:rPr>
              <w:sz w:val="24"/>
              <w:szCs w:val="24"/>
            </w:rPr>
            <w:instrText xml:space="preserve">TOC \z \o "1-3" \u \h</w:instrText>
          </w:r>
          <w:r>
            <w:rPr>
              <w:sz w:val="24"/>
              <w:szCs w:val="24"/>
            </w:rPr>
            <w:fldChar w:fldCharType="separate"/>
          </w:r>
          <w:r>
            <w:fldChar w:fldCharType="begin"/>
          </w:r>
          <w:r>
            <w:instrText xml:space="preserve"> HYPERLINK \l "__RefHeading___Toc26158" \h </w:instrText>
          </w:r>
          <w:r>
            <w:fldChar w:fldCharType="separate"/>
          </w:r>
          <w:r>
            <w:rPr>
              <w:sz w:val="24"/>
              <w:szCs w:val="24"/>
            </w:rPr>
            <w:t>一、建设单位基本情况</w:t>
          </w:r>
          <w:r>
            <w:rPr>
              <w:sz w:val="24"/>
              <w:szCs w:val="24"/>
            </w:rPr>
            <w:tab/>
          </w:r>
          <w:r>
            <w:rPr>
              <w:rFonts w:hint="eastAsia"/>
              <w:sz w:val="24"/>
              <w:szCs w:val="24"/>
            </w:rPr>
            <w:t>3</w:t>
          </w:r>
          <w:r>
            <w:rPr>
              <w:rFonts w:hint="eastAsia"/>
              <w:sz w:val="24"/>
              <w:szCs w:val="24"/>
            </w:rPr>
            <w:fldChar w:fldCharType="end"/>
          </w:r>
        </w:p>
        <w:p>
          <w:pPr>
            <w:pStyle w:val="13"/>
            <w:tabs>
              <w:tab w:val="right" w:leader="dot" w:pos="9026"/>
            </w:tabs>
            <w:ind w:left="0"/>
          </w:pPr>
          <w:r>
            <w:rPr>
              <w:rFonts w:ascii="宋体;SimSun" w:hAnsi="宋体;SimSun" w:cs="宋体;SimSun"/>
              <w:kern w:val="0"/>
              <w:sz w:val="24"/>
              <w:szCs w:val="24"/>
            </w:rPr>
            <w:t>二、建设基础</w:t>
          </w:r>
          <w:r>
            <w:fldChar w:fldCharType="begin"/>
          </w:r>
          <w:r>
            <w:instrText xml:space="preserve"> HYPERLINK \l "__RefHeading___Toc18389" \h </w:instrText>
          </w:r>
          <w:r>
            <w:fldChar w:fldCharType="separate"/>
          </w:r>
          <w:r>
            <w:rPr>
              <w:sz w:val="24"/>
              <w:szCs w:val="24"/>
            </w:rPr>
            <w:tab/>
          </w:r>
          <w:r>
            <w:rPr>
              <w:rFonts w:hint="eastAsia"/>
              <w:sz w:val="24"/>
              <w:szCs w:val="24"/>
            </w:rPr>
            <w:t>3</w:t>
          </w:r>
          <w:r>
            <w:rPr>
              <w:sz w:val="24"/>
              <w:szCs w:val="24"/>
            </w:rPr>
            <w:fldChar w:fldCharType="end"/>
          </w:r>
        </w:p>
        <w:p>
          <w:pPr>
            <w:pStyle w:val="13"/>
            <w:tabs>
              <w:tab w:val="right" w:leader="dot" w:pos="9026"/>
            </w:tabs>
            <w:ind w:left="560"/>
          </w:pPr>
          <w:r>
            <w:fldChar w:fldCharType="begin"/>
          </w:r>
          <w:r>
            <w:instrText xml:space="preserve"> HYPERLINK \l "__RefHeading___Toc5423" \h </w:instrText>
          </w:r>
          <w:r>
            <w:fldChar w:fldCharType="separate"/>
          </w:r>
          <w:r>
            <w:rPr>
              <w:rFonts w:hint="eastAsia"/>
              <w:sz w:val="24"/>
              <w:szCs w:val="24"/>
            </w:rPr>
            <w:t>2</w:t>
          </w:r>
          <w:r>
            <w:rPr>
              <w:sz w:val="24"/>
              <w:szCs w:val="24"/>
            </w:rPr>
            <w:t>.1专业教学实践条件基础</w:t>
          </w:r>
          <w:r>
            <w:rPr>
              <w:sz w:val="24"/>
              <w:szCs w:val="24"/>
            </w:rPr>
            <w:tab/>
          </w:r>
          <w:r>
            <w:rPr>
              <w:rFonts w:hint="eastAsia"/>
              <w:sz w:val="24"/>
              <w:szCs w:val="24"/>
            </w:rPr>
            <w:t>3</w:t>
          </w:r>
          <w:r>
            <w:rPr>
              <w:rFonts w:hint="eastAsia"/>
              <w:sz w:val="24"/>
              <w:szCs w:val="24"/>
            </w:rPr>
            <w:fldChar w:fldCharType="end"/>
          </w:r>
        </w:p>
        <w:p>
          <w:pPr>
            <w:pStyle w:val="13"/>
            <w:tabs>
              <w:tab w:val="right" w:leader="dot" w:pos="9026"/>
            </w:tabs>
            <w:ind w:left="560"/>
          </w:pPr>
          <w:r>
            <w:fldChar w:fldCharType="begin"/>
          </w:r>
          <w:r>
            <w:instrText xml:space="preserve"> HYPERLINK \l "__RefHeading___Toc9889" \h </w:instrText>
          </w:r>
          <w:r>
            <w:fldChar w:fldCharType="separate"/>
          </w:r>
          <w:r>
            <w:rPr>
              <w:rFonts w:hint="eastAsia"/>
              <w:sz w:val="24"/>
              <w:szCs w:val="24"/>
            </w:rPr>
            <w:t>2.2专</w:t>
          </w:r>
          <w:r>
            <w:rPr>
              <w:sz w:val="24"/>
              <w:szCs w:val="24"/>
            </w:rPr>
            <w:t>业教学团队基础</w:t>
          </w:r>
          <w:r>
            <w:rPr>
              <w:sz w:val="24"/>
              <w:szCs w:val="24"/>
            </w:rPr>
            <w:tab/>
          </w:r>
          <w:r>
            <w:rPr>
              <w:sz w:val="24"/>
              <w:szCs w:val="24"/>
            </w:rPr>
            <w:t>4</w:t>
          </w:r>
          <w:r>
            <w:rPr>
              <w:sz w:val="24"/>
              <w:szCs w:val="24"/>
            </w:rPr>
            <w:fldChar w:fldCharType="end"/>
          </w:r>
        </w:p>
        <w:p>
          <w:pPr>
            <w:pStyle w:val="13"/>
            <w:tabs>
              <w:tab w:val="right" w:leader="dot" w:pos="9026"/>
            </w:tabs>
            <w:ind w:left="560"/>
          </w:pPr>
          <w:r>
            <w:fldChar w:fldCharType="begin"/>
          </w:r>
          <w:r>
            <w:instrText xml:space="preserve"> HYPERLINK \l "__RefHeading___Toc18389" \h </w:instrText>
          </w:r>
          <w:r>
            <w:fldChar w:fldCharType="separate"/>
          </w:r>
          <w:r>
            <w:rPr>
              <w:rFonts w:hint="eastAsia"/>
              <w:sz w:val="24"/>
              <w:szCs w:val="24"/>
            </w:rPr>
            <w:t>2.3虚</w:t>
          </w:r>
          <w:r>
            <w:rPr>
              <w:sz w:val="24"/>
              <w:szCs w:val="24"/>
            </w:rPr>
            <w:t>拟仿真资源建设基础</w:t>
          </w:r>
          <w:r>
            <w:rPr>
              <w:sz w:val="24"/>
              <w:szCs w:val="24"/>
            </w:rPr>
            <w:tab/>
          </w:r>
          <w:r>
            <w:rPr>
              <w:sz w:val="24"/>
              <w:szCs w:val="24"/>
            </w:rPr>
            <w:t>5</w:t>
          </w:r>
          <w:r>
            <w:rPr>
              <w:sz w:val="24"/>
              <w:szCs w:val="24"/>
            </w:rPr>
            <w:fldChar w:fldCharType="end"/>
          </w:r>
        </w:p>
        <w:p>
          <w:pPr>
            <w:pStyle w:val="13"/>
            <w:tabs>
              <w:tab w:val="right" w:leader="dot" w:pos="9026"/>
            </w:tabs>
            <w:ind w:left="0"/>
            <w:rPr>
              <w:rFonts w:ascii="宋体;SimSun" w:hAnsi="宋体;SimSun" w:cs="宋体;SimSun"/>
              <w:kern w:val="0"/>
              <w:sz w:val="24"/>
              <w:szCs w:val="24"/>
            </w:rPr>
          </w:pPr>
          <w:r>
            <w:rPr>
              <w:rFonts w:ascii="宋体;SimSun" w:hAnsi="宋体;SimSun" w:cs="宋体;SimSun"/>
              <w:kern w:val="0"/>
              <w:sz w:val="24"/>
              <w:szCs w:val="24"/>
            </w:rPr>
            <w:t>三、建设的必要性和可行性</w:t>
          </w:r>
          <w:r>
            <w:fldChar w:fldCharType="begin"/>
          </w:r>
          <w:r>
            <w:instrText xml:space="preserve"> HYPERLINK \l "__RefHeading___Toc18389" \h </w:instrText>
          </w:r>
          <w:r>
            <w:fldChar w:fldCharType="separate"/>
          </w:r>
          <w:r>
            <w:rPr>
              <w:sz w:val="24"/>
              <w:szCs w:val="24"/>
            </w:rPr>
            <w:tab/>
          </w:r>
          <w:r>
            <w:rPr>
              <w:rFonts w:hint="eastAsia"/>
              <w:sz w:val="24"/>
              <w:szCs w:val="24"/>
            </w:rPr>
            <w:t>6</w:t>
          </w:r>
          <w:r>
            <w:rPr>
              <w:rFonts w:hint="eastAsia"/>
              <w:sz w:val="24"/>
              <w:szCs w:val="24"/>
            </w:rPr>
            <w:fldChar w:fldCharType="end"/>
          </w:r>
        </w:p>
        <w:p>
          <w:pPr>
            <w:pStyle w:val="13"/>
            <w:tabs>
              <w:tab w:val="right" w:leader="dot" w:pos="9026"/>
            </w:tabs>
            <w:ind w:left="560"/>
            <w:rPr>
              <w:sz w:val="24"/>
              <w:szCs w:val="24"/>
            </w:rPr>
          </w:pPr>
          <w:r>
            <w:rPr>
              <w:sz w:val="24"/>
              <w:szCs w:val="24"/>
            </w:rPr>
            <w:t>1.1建设的必要性</w:t>
          </w:r>
          <w:r>
            <w:rPr>
              <w:sz w:val="24"/>
              <w:szCs w:val="24"/>
            </w:rPr>
            <w:fldChar w:fldCharType="begin"/>
          </w:r>
          <w:r>
            <w:rPr>
              <w:sz w:val="24"/>
              <w:szCs w:val="24"/>
            </w:rPr>
            <w:instrText xml:space="preserve"> HYPERLINK \l "__RefHeading___Toc18389" \h </w:instrText>
          </w:r>
          <w:r>
            <w:rPr>
              <w:sz w:val="24"/>
              <w:szCs w:val="24"/>
            </w:rPr>
            <w:fldChar w:fldCharType="separate"/>
          </w:r>
          <w:r>
            <w:rPr>
              <w:sz w:val="24"/>
              <w:szCs w:val="24"/>
            </w:rPr>
            <w:tab/>
          </w:r>
          <w:r>
            <w:rPr>
              <w:rFonts w:hint="eastAsia"/>
              <w:sz w:val="24"/>
              <w:szCs w:val="24"/>
            </w:rPr>
            <w:t>6</w:t>
          </w:r>
          <w:r>
            <w:rPr>
              <w:sz w:val="24"/>
              <w:szCs w:val="24"/>
            </w:rPr>
            <w:fldChar w:fldCharType="end"/>
          </w:r>
        </w:p>
        <w:p>
          <w:pPr>
            <w:pStyle w:val="13"/>
            <w:tabs>
              <w:tab w:val="right" w:leader="dot" w:pos="9026"/>
            </w:tabs>
            <w:ind w:left="560"/>
            <w:rPr>
              <w:rFonts w:ascii="宋体;SimSun" w:hAnsi="宋体;SimSun" w:cs="宋体;SimSun"/>
              <w:kern w:val="0"/>
              <w:sz w:val="24"/>
              <w:szCs w:val="24"/>
            </w:rPr>
          </w:pPr>
          <w:r>
            <w:rPr>
              <w:sz w:val="24"/>
              <w:szCs w:val="24"/>
            </w:rPr>
            <w:t>1.2</w:t>
          </w:r>
          <w:r>
            <w:rPr>
              <w:rFonts w:ascii="宋体;SimSun" w:hAnsi="宋体;SimSun" w:cs="宋体;SimSun"/>
              <w:kern w:val="0"/>
              <w:sz w:val="24"/>
              <w:szCs w:val="24"/>
            </w:rPr>
            <w:t>建设的可行性</w:t>
          </w:r>
          <w:r>
            <w:fldChar w:fldCharType="begin"/>
          </w:r>
          <w:r>
            <w:instrText xml:space="preserve"> HYPERLINK \l "__RefHeading___Toc18389" \h </w:instrText>
          </w:r>
          <w:r>
            <w:fldChar w:fldCharType="separate"/>
          </w:r>
          <w:r>
            <w:rPr>
              <w:sz w:val="24"/>
              <w:szCs w:val="24"/>
            </w:rPr>
            <w:tab/>
          </w:r>
          <w:r>
            <w:rPr>
              <w:rFonts w:hint="eastAsia"/>
              <w:sz w:val="24"/>
              <w:szCs w:val="24"/>
            </w:rPr>
            <w:t>7</w:t>
          </w:r>
          <w:r>
            <w:rPr>
              <w:sz w:val="24"/>
              <w:szCs w:val="24"/>
            </w:rPr>
            <w:fldChar w:fldCharType="end"/>
          </w:r>
        </w:p>
        <w:p>
          <w:pPr>
            <w:pStyle w:val="14"/>
            <w:tabs>
              <w:tab w:val="right" w:leader="dot" w:pos="9026"/>
              <w:tab w:val="clear" w:pos="9016"/>
            </w:tabs>
            <w:spacing w:line="240" w:lineRule="auto"/>
          </w:pPr>
          <w:r>
            <w:rPr>
              <w:sz w:val="24"/>
              <w:szCs w:val="24"/>
            </w:rPr>
            <w:t>四</w:t>
          </w:r>
          <w:r>
            <w:fldChar w:fldCharType="begin"/>
          </w:r>
          <w:r>
            <w:instrText xml:space="preserve"> HYPERLINK \l "__RefHeading___Toc4301" \h </w:instrText>
          </w:r>
          <w:r>
            <w:fldChar w:fldCharType="separate"/>
          </w:r>
          <w:r>
            <w:rPr>
              <w:sz w:val="24"/>
              <w:szCs w:val="24"/>
            </w:rPr>
            <w:t>、建设思路</w:t>
          </w:r>
          <w:r>
            <w:rPr>
              <w:sz w:val="24"/>
              <w:szCs w:val="24"/>
            </w:rPr>
            <w:tab/>
          </w:r>
          <w:r>
            <w:rPr>
              <w:sz w:val="24"/>
              <w:szCs w:val="24"/>
            </w:rPr>
            <w:t>7</w:t>
          </w:r>
          <w:r>
            <w:rPr>
              <w:sz w:val="24"/>
              <w:szCs w:val="24"/>
            </w:rPr>
            <w:fldChar w:fldCharType="end"/>
          </w:r>
        </w:p>
        <w:p>
          <w:pPr>
            <w:pStyle w:val="13"/>
            <w:tabs>
              <w:tab w:val="right" w:leader="dot" w:pos="9026"/>
            </w:tabs>
            <w:ind w:left="560"/>
          </w:pPr>
          <w:r>
            <w:rPr>
              <w:sz w:val="24"/>
              <w:szCs w:val="24"/>
            </w:rPr>
            <w:t>4</w:t>
          </w:r>
          <w:r>
            <w:fldChar w:fldCharType="begin"/>
          </w:r>
          <w:r>
            <w:instrText xml:space="preserve"> HYPERLINK \l "__RefHeading___Toc26780" \h </w:instrText>
          </w:r>
          <w:r>
            <w:fldChar w:fldCharType="separate"/>
          </w:r>
          <w:r>
            <w:rPr>
              <w:sz w:val="24"/>
              <w:szCs w:val="24"/>
            </w:rPr>
            <w:t>.1聚焦我校“中国制造2025”重点领域专业群发展，打造符合区域产业特色虚拟仿真实训示范基地</w:t>
          </w:r>
          <w:r>
            <w:rPr>
              <w:sz w:val="24"/>
              <w:szCs w:val="24"/>
            </w:rPr>
            <w:tab/>
          </w:r>
          <w:r>
            <w:rPr>
              <w:sz w:val="24"/>
              <w:szCs w:val="24"/>
            </w:rPr>
            <w:t>7</w:t>
          </w:r>
          <w:r>
            <w:rPr>
              <w:sz w:val="24"/>
              <w:szCs w:val="24"/>
            </w:rPr>
            <w:fldChar w:fldCharType="end"/>
          </w:r>
        </w:p>
        <w:p>
          <w:pPr>
            <w:pStyle w:val="13"/>
            <w:tabs>
              <w:tab w:val="right" w:leader="dot" w:pos="9026"/>
            </w:tabs>
            <w:ind w:left="560"/>
          </w:pPr>
          <w:r>
            <w:rPr>
              <w:sz w:val="24"/>
              <w:szCs w:val="24"/>
            </w:rPr>
            <w:t>4</w:t>
          </w:r>
          <w:r>
            <w:fldChar w:fldCharType="begin"/>
          </w:r>
          <w:r>
            <w:instrText xml:space="preserve"> HYPERLINK \l "__RefHeading___Toc24508" \h </w:instrText>
          </w:r>
          <w:r>
            <w:fldChar w:fldCharType="separate"/>
          </w:r>
          <w:r>
            <w:rPr>
              <w:sz w:val="24"/>
              <w:szCs w:val="24"/>
            </w:rPr>
            <w:t>.2依托虚拟仿真管理与共享平台的全面部署，探索“理、虚、实一体化”教学实训模式，推动专业教学改革</w:t>
          </w:r>
          <w:r>
            <w:rPr>
              <w:sz w:val="24"/>
              <w:szCs w:val="24"/>
            </w:rPr>
            <w:tab/>
          </w:r>
          <w:r>
            <w:rPr>
              <w:rFonts w:hint="eastAsia"/>
              <w:sz w:val="24"/>
              <w:szCs w:val="24"/>
            </w:rPr>
            <w:t>8</w:t>
          </w:r>
          <w:r>
            <w:rPr>
              <w:rFonts w:hint="eastAsia"/>
              <w:sz w:val="24"/>
              <w:szCs w:val="24"/>
            </w:rPr>
            <w:fldChar w:fldCharType="end"/>
          </w:r>
        </w:p>
        <w:p>
          <w:pPr>
            <w:pStyle w:val="13"/>
            <w:tabs>
              <w:tab w:val="right" w:leader="dot" w:pos="9026"/>
            </w:tabs>
            <w:ind w:left="560"/>
          </w:pPr>
          <w:r>
            <w:rPr>
              <w:sz w:val="24"/>
              <w:szCs w:val="24"/>
            </w:rPr>
            <w:t>4</w:t>
          </w:r>
          <w:r>
            <w:fldChar w:fldCharType="begin"/>
          </w:r>
          <w:r>
            <w:instrText xml:space="preserve"> HYPERLINK \l "__RefHeading___Toc31394" \h </w:instrText>
          </w:r>
          <w:r>
            <w:fldChar w:fldCharType="separate"/>
          </w:r>
          <w:r>
            <w:rPr>
              <w:sz w:val="24"/>
              <w:szCs w:val="24"/>
            </w:rPr>
            <w:t>.3统筹规划，有机融合，打造加工制造类专业一体化教育体系</w:t>
          </w:r>
          <w:r>
            <w:rPr>
              <w:sz w:val="24"/>
              <w:szCs w:val="24"/>
            </w:rPr>
            <w:tab/>
          </w:r>
          <w:r>
            <w:rPr>
              <w:sz w:val="24"/>
              <w:szCs w:val="24"/>
            </w:rPr>
            <w:t>8</w:t>
          </w:r>
          <w:r>
            <w:rPr>
              <w:sz w:val="24"/>
              <w:szCs w:val="24"/>
            </w:rPr>
            <w:fldChar w:fldCharType="end"/>
          </w:r>
        </w:p>
        <w:p>
          <w:pPr>
            <w:pStyle w:val="13"/>
            <w:tabs>
              <w:tab w:val="right" w:leader="dot" w:pos="9026"/>
            </w:tabs>
            <w:ind w:left="560"/>
          </w:pPr>
          <w:r>
            <w:rPr>
              <w:sz w:val="24"/>
              <w:szCs w:val="24"/>
            </w:rPr>
            <w:t>4</w:t>
          </w:r>
          <w:r>
            <w:fldChar w:fldCharType="begin"/>
          </w:r>
          <w:r>
            <w:instrText xml:space="preserve"> HYPERLINK \l "__RefHeading___Toc30033" \h </w:instrText>
          </w:r>
          <w:r>
            <w:fldChar w:fldCharType="separate"/>
          </w:r>
          <w:r>
            <w:rPr>
              <w:sz w:val="24"/>
              <w:szCs w:val="24"/>
            </w:rPr>
            <w:t>.4校企合作，探索共建区域共建共享机制，深化产教融合</w:t>
          </w:r>
          <w:r>
            <w:rPr>
              <w:sz w:val="24"/>
              <w:szCs w:val="24"/>
            </w:rPr>
            <w:tab/>
          </w:r>
          <w:r>
            <w:rPr>
              <w:rFonts w:hint="eastAsia"/>
              <w:sz w:val="24"/>
              <w:szCs w:val="24"/>
            </w:rPr>
            <w:t>9</w:t>
          </w:r>
          <w:r>
            <w:rPr>
              <w:rFonts w:hint="eastAsia"/>
              <w:sz w:val="24"/>
              <w:szCs w:val="24"/>
            </w:rPr>
            <w:fldChar w:fldCharType="end"/>
          </w:r>
        </w:p>
        <w:p>
          <w:pPr>
            <w:pStyle w:val="14"/>
            <w:tabs>
              <w:tab w:val="right" w:leader="dot" w:pos="9026"/>
              <w:tab w:val="clear" w:pos="9016"/>
            </w:tabs>
            <w:spacing w:line="240" w:lineRule="auto"/>
          </w:pPr>
          <w:r>
            <w:rPr>
              <w:sz w:val="24"/>
              <w:szCs w:val="24"/>
            </w:rPr>
            <w:t>五</w:t>
          </w:r>
          <w:r>
            <w:fldChar w:fldCharType="begin"/>
          </w:r>
          <w:r>
            <w:instrText xml:space="preserve"> HYPERLINK \l "__RefHeading___Toc32404" \h </w:instrText>
          </w:r>
          <w:r>
            <w:fldChar w:fldCharType="separate"/>
          </w:r>
          <w:r>
            <w:rPr>
              <w:sz w:val="24"/>
              <w:szCs w:val="24"/>
            </w:rPr>
            <w:t>、建设目标</w:t>
          </w:r>
          <w:r>
            <w:rPr>
              <w:sz w:val="24"/>
              <w:szCs w:val="24"/>
            </w:rPr>
            <w:tab/>
          </w:r>
          <w:r>
            <w:rPr>
              <w:sz w:val="24"/>
              <w:szCs w:val="24"/>
            </w:rPr>
            <w:t>9</w:t>
          </w:r>
          <w:r>
            <w:rPr>
              <w:sz w:val="24"/>
              <w:szCs w:val="24"/>
            </w:rPr>
            <w:fldChar w:fldCharType="end"/>
          </w:r>
        </w:p>
        <w:p>
          <w:pPr>
            <w:pStyle w:val="13"/>
            <w:tabs>
              <w:tab w:val="right" w:leader="dot" w:pos="9026"/>
            </w:tabs>
            <w:ind w:left="560"/>
            <w:rPr>
              <w:sz w:val="24"/>
              <w:szCs w:val="24"/>
            </w:rPr>
          </w:pPr>
          <w:r>
            <w:rPr>
              <w:sz w:val="24"/>
              <w:szCs w:val="24"/>
            </w:rPr>
            <w:t>5</w:t>
          </w:r>
          <w:r>
            <w:fldChar w:fldCharType="begin"/>
          </w:r>
          <w:r>
            <w:instrText xml:space="preserve"> HYPERLINK \l "__RefHeading___Toc9355" \h </w:instrText>
          </w:r>
          <w:r>
            <w:fldChar w:fldCharType="separate"/>
          </w:r>
          <w:r>
            <w:rPr>
              <w:sz w:val="24"/>
              <w:szCs w:val="24"/>
            </w:rPr>
            <w:t>.1打造“开放、共享、多功能”的虚拟仿真实训基地</w:t>
          </w:r>
          <w:r>
            <w:rPr>
              <w:sz w:val="24"/>
              <w:szCs w:val="24"/>
            </w:rPr>
            <w:tab/>
          </w:r>
          <w:r>
            <w:rPr>
              <w:rFonts w:hint="eastAsia"/>
              <w:sz w:val="24"/>
              <w:szCs w:val="24"/>
            </w:rPr>
            <w:t>1</w:t>
          </w:r>
          <w:r>
            <w:rPr>
              <w:rFonts w:hint="eastAsia"/>
              <w:sz w:val="24"/>
              <w:szCs w:val="24"/>
            </w:rPr>
            <w:fldChar w:fldCharType="end"/>
          </w:r>
          <w:r>
            <w:rPr>
              <w:rFonts w:hint="eastAsia"/>
              <w:sz w:val="24"/>
              <w:szCs w:val="24"/>
            </w:rPr>
            <w:t>0</w:t>
          </w:r>
        </w:p>
        <w:p>
          <w:pPr>
            <w:pStyle w:val="13"/>
            <w:tabs>
              <w:tab w:val="right" w:leader="dot" w:pos="9026"/>
            </w:tabs>
            <w:ind w:left="560"/>
            <w:rPr>
              <w:sz w:val="24"/>
              <w:szCs w:val="24"/>
            </w:rPr>
          </w:pPr>
          <w:r>
            <w:rPr>
              <w:sz w:val="24"/>
              <w:szCs w:val="24"/>
            </w:rPr>
            <w:t>5</w:t>
          </w:r>
          <w:r>
            <w:fldChar w:fldCharType="begin"/>
          </w:r>
          <w:r>
            <w:instrText xml:space="preserve"> HYPERLINK \l "__RefHeading___Toc9298" \h </w:instrText>
          </w:r>
          <w:r>
            <w:fldChar w:fldCharType="separate"/>
          </w:r>
          <w:r>
            <w:rPr>
              <w:sz w:val="24"/>
              <w:szCs w:val="24"/>
            </w:rPr>
            <w:t>.2练好内功，以新技术、新体验驱动教学资源与模式革新</w:t>
          </w:r>
          <w:r>
            <w:rPr>
              <w:sz w:val="24"/>
              <w:szCs w:val="24"/>
            </w:rPr>
            <w:tab/>
          </w:r>
          <w:r>
            <w:rPr>
              <w:rFonts w:hint="eastAsia"/>
              <w:sz w:val="24"/>
              <w:szCs w:val="24"/>
            </w:rPr>
            <w:t>1</w:t>
          </w:r>
          <w:r>
            <w:rPr>
              <w:rFonts w:hint="eastAsia"/>
              <w:sz w:val="24"/>
              <w:szCs w:val="24"/>
            </w:rPr>
            <w:fldChar w:fldCharType="end"/>
          </w:r>
          <w:r>
            <w:rPr>
              <w:rFonts w:hint="eastAsia"/>
              <w:sz w:val="24"/>
              <w:szCs w:val="24"/>
            </w:rPr>
            <w:t>0</w:t>
          </w:r>
        </w:p>
        <w:p>
          <w:pPr>
            <w:pStyle w:val="13"/>
            <w:tabs>
              <w:tab w:val="right" w:leader="dot" w:pos="9026"/>
            </w:tabs>
            <w:ind w:left="560"/>
            <w:rPr>
              <w:sz w:val="24"/>
              <w:szCs w:val="24"/>
            </w:rPr>
          </w:pPr>
          <w:r>
            <w:rPr>
              <w:sz w:val="24"/>
              <w:szCs w:val="24"/>
            </w:rPr>
            <w:t>5</w:t>
          </w:r>
          <w:r>
            <w:fldChar w:fldCharType="begin"/>
          </w:r>
          <w:r>
            <w:instrText xml:space="preserve"> HYPERLINK \l "__RefHeading___Toc27431" \h </w:instrText>
          </w:r>
          <w:r>
            <w:fldChar w:fldCharType="separate"/>
          </w:r>
          <w:r>
            <w:rPr>
              <w:sz w:val="24"/>
              <w:szCs w:val="24"/>
            </w:rPr>
            <w:t>.3走出校门，以“校企合作、产教融合”推进学校社会化服务进程</w:t>
          </w:r>
          <w:r>
            <w:rPr>
              <w:sz w:val="24"/>
              <w:szCs w:val="24"/>
            </w:rPr>
            <w:tab/>
          </w:r>
          <w:r>
            <w:rPr>
              <w:rFonts w:hint="eastAsia"/>
              <w:sz w:val="24"/>
              <w:szCs w:val="24"/>
            </w:rPr>
            <w:t>1</w:t>
          </w:r>
          <w:r>
            <w:rPr>
              <w:rFonts w:hint="eastAsia"/>
              <w:sz w:val="24"/>
              <w:szCs w:val="24"/>
            </w:rPr>
            <w:fldChar w:fldCharType="end"/>
          </w:r>
          <w:r>
            <w:rPr>
              <w:rFonts w:hint="eastAsia"/>
              <w:sz w:val="24"/>
              <w:szCs w:val="24"/>
            </w:rPr>
            <w:t>1</w:t>
          </w:r>
        </w:p>
        <w:p>
          <w:pPr>
            <w:pStyle w:val="13"/>
            <w:tabs>
              <w:tab w:val="right" w:leader="dot" w:pos="9026"/>
            </w:tabs>
            <w:ind w:left="560"/>
          </w:pPr>
          <w:r>
            <w:rPr>
              <w:sz w:val="24"/>
              <w:szCs w:val="24"/>
            </w:rPr>
            <w:t>5</w:t>
          </w:r>
          <w:r>
            <w:fldChar w:fldCharType="begin"/>
          </w:r>
          <w:r>
            <w:instrText xml:space="preserve"> HYPERLINK \l "__RefHeading___Toc12956" \h </w:instrText>
          </w:r>
          <w:r>
            <w:fldChar w:fldCharType="separate"/>
          </w:r>
          <w:r>
            <w:rPr>
              <w:sz w:val="24"/>
              <w:szCs w:val="24"/>
            </w:rPr>
            <w:t>.4以“学校-技术公司-行业企业”的建设模式开展共建共享合作</w:t>
          </w:r>
          <w:r>
            <w:rPr>
              <w:sz w:val="24"/>
              <w:szCs w:val="24"/>
            </w:rPr>
            <w:tab/>
          </w:r>
          <w:r>
            <w:rPr>
              <w:rFonts w:hint="eastAsia"/>
              <w:sz w:val="24"/>
              <w:szCs w:val="24"/>
            </w:rPr>
            <w:t>1</w:t>
          </w:r>
          <w:r>
            <w:rPr>
              <w:rFonts w:hint="eastAsia"/>
              <w:sz w:val="24"/>
              <w:szCs w:val="24"/>
            </w:rPr>
            <w:fldChar w:fldCharType="end"/>
          </w:r>
          <w:r>
            <w:rPr>
              <w:rFonts w:hint="eastAsia"/>
              <w:sz w:val="24"/>
              <w:szCs w:val="24"/>
            </w:rPr>
            <w:t>1</w:t>
          </w:r>
        </w:p>
        <w:p>
          <w:pPr>
            <w:pStyle w:val="14"/>
            <w:tabs>
              <w:tab w:val="right" w:leader="dot" w:pos="9026"/>
              <w:tab w:val="clear" w:pos="9016"/>
            </w:tabs>
            <w:spacing w:line="240" w:lineRule="auto"/>
          </w:pPr>
          <w:r>
            <w:rPr>
              <w:sz w:val="24"/>
              <w:szCs w:val="24"/>
            </w:rPr>
            <w:t>六</w:t>
          </w:r>
          <w:r>
            <w:fldChar w:fldCharType="begin"/>
          </w:r>
          <w:r>
            <w:instrText xml:space="preserve"> HYPERLINK \l "__RefHeading___Toc32015" \h </w:instrText>
          </w:r>
          <w:r>
            <w:fldChar w:fldCharType="separate"/>
          </w:r>
          <w:r>
            <w:rPr>
              <w:sz w:val="24"/>
              <w:szCs w:val="24"/>
            </w:rPr>
            <w:t>、建设内容</w:t>
          </w:r>
          <w:r>
            <w:rPr>
              <w:sz w:val="24"/>
              <w:szCs w:val="24"/>
            </w:rPr>
            <w:tab/>
          </w:r>
          <w:r>
            <w:rPr>
              <w:sz w:val="24"/>
              <w:szCs w:val="24"/>
            </w:rPr>
            <w:t>11</w:t>
          </w:r>
          <w:r>
            <w:rPr>
              <w:sz w:val="24"/>
              <w:szCs w:val="24"/>
            </w:rPr>
            <w:fldChar w:fldCharType="end"/>
          </w:r>
        </w:p>
        <w:p>
          <w:pPr>
            <w:pStyle w:val="13"/>
            <w:tabs>
              <w:tab w:val="right" w:leader="dot" w:pos="9026"/>
            </w:tabs>
            <w:ind w:left="560"/>
          </w:pPr>
          <w:r>
            <w:rPr>
              <w:sz w:val="24"/>
              <w:szCs w:val="24"/>
            </w:rPr>
            <w:t>6</w:t>
          </w:r>
          <w:r>
            <w:fldChar w:fldCharType="begin"/>
          </w:r>
          <w:r>
            <w:instrText xml:space="preserve"> HYPERLINK \l "__RefHeading___Toc7477" \h </w:instrText>
          </w:r>
          <w:r>
            <w:fldChar w:fldCharType="separate"/>
          </w:r>
          <w:r>
            <w:rPr>
              <w:sz w:val="24"/>
              <w:szCs w:val="24"/>
            </w:rPr>
            <w:t>.1总体方案</w:t>
          </w:r>
          <w:r>
            <w:rPr>
              <w:sz w:val="24"/>
              <w:szCs w:val="24"/>
            </w:rPr>
            <w:tab/>
          </w:r>
          <w:r>
            <w:rPr>
              <w:sz w:val="24"/>
              <w:szCs w:val="24"/>
            </w:rPr>
            <w:t>11</w:t>
          </w:r>
          <w:r>
            <w:rPr>
              <w:sz w:val="24"/>
              <w:szCs w:val="24"/>
            </w:rPr>
            <w:fldChar w:fldCharType="end"/>
          </w:r>
        </w:p>
        <w:p>
          <w:pPr>
            <w:pStyle w:val="13"/>
            <w:tabs>
              <w:tab w:val="right" w:leader="dot" w:pos="9026"/>
            </w:tabs>
            <w:ind w:left="560"/>
          </w:pPr>
          <w:r>
            <w:rPr>
              <w:sz w:val="24"/>
              <w:szCs w:val="24"/>
            </w:rPr>
            <w:t>6</w:t>
          </w:r>
          <w:r>
            <w:fldChar w:fldCharType="begin"/>
          </w:r>
          <w:r>
            <w:instrText xml:space="preserve"> HYPERLINK \l "__RefHeading___Toc22640" \h </w:instrText>
          </w:r>
          <w:r>
            <w:fldChar w:fldCharType="separate"/>
          </w:r>
          <w:r>
            <w:rPr>
              <w:sz w:val="24"/>
              <w:szCs w:val="24"/>
            </w:rPr>
            <w:t>.2 VR/AR多功能教学体验中心</w:t>
          </w:r>
          <w:r>
            <w:rPr>
              <w:sz w:val="24"/>
              <w:szCs w:val="24"/>
            </w:rPr>
            <w:tab/>
          </w:r>
          <w:r>
            <w:rPr>
              <w:sz w:val="24"/>
              <w:szCs w:val="24"/>
            </w:rPr>
            <w:t>1</w:t>
          </w:r>
          <w:r>
            <w:rPr>
              <w:rFonts w:hint="eastAsia"/>
              <w:sz w:val="24"/>
              <w:szCs w:val="24"/>
            </w:rPr>
            <w:t>3</w:t>
          </w:r>
          <w:r>
            <w:rPr>
              <w:rFonts w:hint="eastAsia"/>
              <w:sz w:val="24"/>
              <w:szCs w:val="24"/>
            </w:rPr>
            <w:fldChar w:fldCharType="end"/>
          </w:r>
        </w:p>
        <w:p>
          <w:pPr>
            <w:pStyle w:val="13"/>
            <w:tabs>
              <w:tab w:val="right" w:leader="dot" w:pos="9026"/>
            </w:tabs>
            <w:ind w:left="560"/>
          </w:pPr>
          <w:r>
            <w:rPr>
              <w:sz w:val="24"/>
              <w:szCs w:val="24"/>
            </w:rPr>
            <w:t>6</w:t>
          </w:r>
          <w:r>
            <w:fldChar w:fldCharType="begin"/>
          </w:r>
          <w:r>
            <w:instrText xml:space="preserve"> HYPERLINK \l "__RefHeading___Toc17704" \h </w:instrText>
          </w:r>
          <w:r>
            <w:fldChar w:fldCharType="separate"/>
          </w:r>
          <w:r>
            <w:rPr>
              <w:sz w:val="24"/>
              <w:szCs w:val="24"/>
            </w:rPr>
            <w:t>.3专业群精品课程资源库</w:t>
          </w:r>
          <w:r>
            <w:rPr>
              <w:sz w:val="24"/>
              <w:szCs w:val="24"/>
            </w:rPr>
            <w:tab/>
          </w:r>
          <w:r>
            <w:rPr>
              <w:rFonts w:hint="eastAsia"/>
              <w:sz w:val="24"/>
              <w:szCs w:val="24"/>
            </w:rPr>
            <w:t>1</w:t>
          </w:r>
          <w:r>
            <w:rPr>
              <w:rFonts w:hint="eastAsia"/>
              <w:sz w:val="24"/>
              <w:szCs w:val="24"/>
            </w:rPr>
            <w:fldChar w:fldCharType="end"/>
          </w:r>
          <w:r>
            <w:rPr>
              <w:rFonts w:hint="eastAsia"/>
              <w:sz w:val="24"/>
              <w:szCs w:val="24"/>
            </w:rPr>
            <w:t>7</w:t>
          </w:r>
        </w:p>
        <w:p>
          <w:pPr>
            <w:pStyle w:val="13"/>
            <w:tabs>
              <w:tab w:val="right" w:leader="dot" w:pos="9026"/>
            </w:tabs>
            <w:ind w:left="560"/>
          </w:pPr>
          <w:r>
            <w:rPr>
              <w:sz w:val="24"/>
              <w:szCs w:val="24"/>
            </w:rPr>
            <w:t>6</w:t>
          </w:r>
          <w:r>
            <w:fldChar w:fldCharType="begin"/>
          </w:r>
          <w:r>
            <w:instrText xml:space="preserve"> HYPERLINK \l "__RefHeading___Toc3961" \h </w:instrText>
          </w:r>
          <w:r>
            <w:fldChar w:fldCharType="separate"/>
          </w:r>
          <w:r>
            <w:rPr>
              <w:sz w:val="24"/>
              <w:szCs w:val="24"/>
            </w:rPr>
            <w:t>.4专业群虚拟仿真软件库</w:t>
          </w:r>
          <w:r>
            <w:rPr>
              <w:sz w:val="24"/>
              <w:szCs w:val="24"/>
            </w:rPr>
            <w:tab/>
          </w:r>
          <w:r>
            <w:rPr>
              <w:rFonts w:hint="eastAsia"/>
              <w:sz w:val="24"/>
              <w:szCs w:val="24"/>
            </w:rPr>
            <w:t>2</w:t>
          </w:r>
          <w:r>
            <w:rPr>
              <w:rFonts w:hint="eastAsia"/>
              <w:sz w:val="24"/>
              <w:szCs w:val="24"/>
            </w:rPr>
            <w:fldChar w:fldCharType="end"/>
          </w:r>
          <w:r>
            <w:rPr>
              <w:rFonts w:hint="eastAsia"/>
              <w:sz w:val="24"/>
              <w:szCs w:val="24"/>
            </w:rPr>
            <w:t>0</w:t>
          </w:r>
        </w:p>
        <w:p>
          <w:pPr>
            <w:pStyle w:val="13"/>
            <w:tabs>
              <w:tab w:val="right" w:leader="dot" w:pos="9026"/>
            </w:tabs>
            <w:ind w:left="560"/>
          </w:pPr>
          <w:r>
            <w:rPr>
              <w:sz w:val="24"/>
              <w:szCs w:val="24"/>
            </w:rPr>
            <w:t>6</w:t>
          </w:r>
          <w:r>
            <w:fldChar w:fldCharType="begin"/>
          </w:r>
          <w:r>
            <w:instrText xml:space="preserve"> HYPERLINK \l "__RefHeading___Toc31751" \h </w:instrText>
          </w:r>
          <w:r>
            <w:fldChar w:fldCharType="separate"/>
          </w:r>
          <w:r>
            <w:rPr>
              <w:sz w:val="24"/>
              <w:szCs w:val="24"/>
            </w:rPr>
            <w:t>.5虚拟仿真教学管理与共享平台</w:t>
          </w:r>
          <w:r>
            <w:rPr>
              <w:sz w:val="24"/>
              <w:szCs w:val="24"/>
            </w:rPr>
            <w:tab/>
          </w:r>
          <w:r>
            <w:rPr>
              <w:rFonts w:hint="eastAsia"/>
              <w:sz w:val="24"/>
              <w:szCs w:val="24"/>
            </w:rPr>
            <w:t>2</w:t>
          </w:r>
          <w:r>
            <w:rPr>
              <w:rFonts w:hint="eastAsia"/>
              <w:sz w:val="24"/>
              <w:szCs w:val="24"/>
            </w:rPr>
            <w:fldChar w:fldCharType="end"/>
          </w:r>
          <w:r>
            <w:rPr>
              <w:rFonts w:hint="eastAsia"/>
              <w:sz w:val="24"/>
              <w:szCs w:val="24"/>
            </w:rPr>
            <w:t>4</w:t>
          </w:r>
        </w:p>
        <w:p>
          <w:pPr>
            <w:pStyle w:val="14"/>
            <w:tabs>
              <w:tab w:val="right" w:leader="dot" w:pos="9026"/>
              <w:tab w:val="clear" w:pos="9016"/>
            </w:tabs>
            <w:spacing w:line="240" w:lineRule="auto"/>
          </w:pPr>
          <w:r>
            <w:rPr>
              <w:sz w:val="24"/>
              <w:szCs w:val="24"/>
            </w:rPr>
            <w:t>七</w:t>
          </w:r>
          <w:r>
            <w:fldChar w:fldCharType="begin"/>
          </w:r>
          <w:r>
            <w:instrText xml:space="preserve"> HYPERLINK \l "__RefHeading___Toc994" \h </w:instrText>
          </w:r>
          <w:r>
            <w:fldChar w:fldCharType="separate"/>
          </w:r>
          <w:r>
            <w:rPr>
              <w:sz w:val="24"/>
              <w:szCs w:val="24"/>
            </w:rPr>
            <w:t>、进度计划</w:t>
          </w:r>
          <w:r>
            <w:rPr>
              <w:sz w:val="24"/>
              <w:szCs w:val="24"/>
            </w:rPr>
            <w:tab/>
          </w:r>
          <w:r>
            <w:rPr>
              <w:rFonts w:hint="eastAsia"/>
              <w:sz w:val="24"/>
              <w:szCs w:val="24"/>
            </w:rPr>
            <w:t>3</w:t>
          </w:r>
          <w:r>
            <w:rPr>
              <w:sz w:val="24"/>
              <w:szCs w:val="24"/>
            </w:rPr>
            <w:fldChar w:fldCharType="end"/>
          </w:r>
          <w:r>
            <w:rPr>
              <w:rFonts w:hint="eastAsia"/>
              <w:sz w:val="24"/>
              <w:szCs w:val="24"/>
            </w:rPr>
            <w:t>1</w:t>
          </w:r>
        </w:p>
        <w:p>
          <w:pPr>
            <w:pStyle w:val="14"/>
            <w:tabs>
              <w:tab w:val="right" w:leader="dot" w:pos="9026"/>
              <w:tab w:val="clear" w:pos="9016"/>
            </w:tabs>
            <w:spacing w:line="240" w:lineRule="auto"/>
          </w:pPr>
          <w:r>
            <w:rPr>
              <w:sz w:val="24"/>
              <w:szCs w:val="24"/>
            </w:rPr>
            <w:t>八</w:t>
          </w:r>
          <w:r>
            <w:fldChar w:fldCharType="begin"/>
          </w:r>
          <w:r>
            <w:instrText xml:space="preserve"> HYPERLINK \l "__RefHeading___Toc15053" \h </w:instrText>
          </w:r>
          <w:r>
            <w:fldChar w:fldCharType="separate"/>
          </w:r>
          <w:r>
            <w:rPr>
              <w:sz w:val="24"/>
              <w:szCs w:val="24"/>
            </w:rPr>
            <w:t>、预期成效</w:t>
          </w:r>
          <w:r>
            <w:rPr>
              <w:sz w:val="24"/>
              <w:szCs w:val="24"/>
            </w:rPr>
            <w:tab/>
          </w:r>
          <w:r>
            <w:rPr>
              <w:rFonts w:hint="eastAsia"/>
              <w:sz w:val="24"/>
              <w:szCs w:val="24"/>
            </w:rPr>
            <w:t>3</w:t>
          </w:r>
          <w:r>
            <w:rPr>
              <w:sz w:val="24"/>
              <w:szCs w:val="24"/>
            </w:rPr>
            <w:fldChar w:fldCharType="end"/>
          </w:r>
          <w:r>
            <w:rPr>
              <w:rFonts w:hint="eastAsia"/>
              <w:sz w:val="24"/>
              <w:szCs w:val="24"/>
            </w:rPr>
            <w:t>2</w:t>
          </w:r>
        </w:p>
        <w:p>
          <w:pPr>
            <w:pStyle w:val="14"/>
            <w:tabs>
              <w:tab w:val="right" w:leader="dot" w:pos="9026"/>
              <w:tab w:val="clear" w:pos="9016"/>
            </w:tabs>
            <w:spacing w:line="240" w:lineRule="auto"/>
          </w:pPr>
          <w:r>
            <w:rPr>
              <w:sz w:val="24"/>
              <w:szCs w:val="24"/>
            </w:rPr>
            <w:t>九</w:t>
          </w:r>
          <w:r>
            <w:fldChar w:fldCharType="begin"/>
          </w:r>
          <w:r>
            <w:instrText xml:space="preserve"> HYPERLINK \l "__RefHeading___Toc13303" \h </w:instrText>
          </w:r>
          <w:r>
            <w:fldChar w:fldCharType="separate"/>
          </w:r>
          <w:r>
            <w:rPr>
              <w:sz w:val="24"/>
              <w:szCs w:val="24"/>
            </w:rPr>
            <w:t>、保障措施</w:t>
          </w:r>
          <w:r>
            <w:rPr>
              <w:sz w:val="24"/>
              <w:szCs w:val="24"/>
            </w:rPr>
            <w:tab/>
          </w:r>
          <w:r>
            <w:rPr>
              <w:rFonts w:hint="eastAsia"/>
              <w:sz w:val="24"/>
              <w:szCs w:val="24"/>
            </w:rPr>
            <w:t>3</w:t>
          </w:r>
          <w:r>
            <w:rPr>
              <w:sz w:val="24"/>
              <w:szCs w:val="24"/>
            </w:rPr>
            <w:fldChar w:fldCharType="end"/>
          </w:r>
          <w:r>
            <w:rPr>
              <w:rFonts w:hint="eastAsia"/>
              <w:sz w:val="24"/>
              <w:szCs w:val="24"/>
            </w:rPr>
            <w:t>2</w:t>
          </w:r>
        </w:p>
        <w:p>
          <w:pPr>
            <w:pStyle w:val="13"/>
            <w:tabs>
              <w:tab w:val="right" w:leader="dot" w:pos="9026"/>
            </w:tabs>
            <w:ind w:left="560"/>
          </w:pPr>
          <w:r>
            <w:rPr>
              <w:sz w:val="24"/>
              <w:szCs w:val="24"/>
            </w:rPr>
            <w:t>9</w:t>
          </w:r>
          <w:r>
            <w:fldChar w:fldCharType="begin"/>
          </w:r>
          <w:r>
            <w:instrText xml:space="preserve"> HYPERLINK \l "__RefHeading___Toc13863" \h </w:instrText>
          </w:r>
          <w:r>
            <w:fldChar w:fldCharType="separate"/>
          </w:r>
          <w:r>
            <w:rPr>
              <w:sz w:val="24"/>
              <w:szCs w:val="24"/>
            </w:rPr>
            <w:t>.1组织保障</w:t>
          </w:r>
          <w:r>
            <w:rPr>
              <w:sz w:val="24"/>
              <w:szCs w:val="24"/>
            </w:rPr>
            <w:tab/>
          </w:r>
          <w:r>
            <w:rPr>
              <w:rFonts w:hint="eastAsia"/>
              <w:sz w:val="24"/>
              <w:szCs w:val="24"/>
            </w:rPr>
            <w:t>3</w:t>
          </w:r>
          <w:r>
            <w:rPr>
              <w:rFonts w:hint="eastAsia"/>
              <w:sz w:val="24"/>
              <w:szCs w:val="24"/>
            </w:rPr>
            <w:fldChar w:fldCharType="end"/>
          </w:r>
          <w:r>
            <w:rPr>
              <w:rFonts w:hint="eastAsia"/>
              <w:sz w:val="24"/>
              <w:szCs w:val="24"/>
            </w:rPr>
            <w:t>2</w:t>
          </w:r>
        </w:p>
        <w:p>
          <w:pPr>
            <w:pStyle w:val="13"/>
            <w:tabs>
              <w:tab w:val="right" w:leader="dot" w:pos="9026"/>
            </w:tabs>
            <w:ind w:left="560"/>
          </w:pPr>
          <w:r>
            <w:rPr>
              <w:sz w:val="24"/>
              <w:szCs w:val="24"/>
            </w:rPr>
            <w:t>9</w:t>
          </w:r>
          <w:r>
            <w:fldChar w:fldCharType="begin"/>
          </w:r>
          <w:r>
            <w:instrText xml:space="preserve"> HYPERLINK \l "__RefHeading___Toc20540" \h </w:instrText>
          </w:r>
          <w:r>
            <w:fldChar w:fldCharType="separate"/>
          </w:r>
          <w:r>
            <w:rPr>
              <w:sz w:val="24"/>
              <w:szCs w:val="24"/>
            </w:rPr>
            <w:t>.2制度保障</w:t>
          </w:r>
          <w:r>
            <w:rPr>
              <w:sz w:val="24"/>
              <w:szCs w:val="24"/>
            </w:rPr>
            <w:tab/>
          </w:r>
          <w:r>
            <w:rPr>
              <w:rFonts w:hint="eastAsia"/>
              <w:sz w:val="24"/>
              <w:szCs w:val="24"/>
            </w:rPr>
            <w:t>3</w:t>
          </w:r>
          <w:r>
            <w:rPr>
              <w:rFonts w:hint="eastAsia"/>
              <w:sz w:val="24"/>
              <w:szCs w:val="24"/>
            </w:rPr>
            <w:fldChar w:fldCharType="end"/>
          </w:r>
          <w:r>
            <w:rPr>
              <w:rFonts w:hint="eastAsia"/>
              <w:sz w:val="24"/>
              <w:szCs w:val="24"/>
            </w:rPr>
            <w:t>4</w:t>
          </w:r>
        </w:p>
        <w:p>
          <w:pPr>
            <w:pStyle w:val="13"/>
            <w:tabs>
              <w:tab w:val="right" w:leader="dot" w:pos="9026"/>
            </w:tabs>
            <w:ind w:left="560"/>
          </w:pPr>
          <w:r>
            <w:rPr>
              <w:sz w:val="24"/>
              <w:szCs w:val="24"/>
            </w:rPr>
            <w:t>9</w:t>
          </w:r>
          <w:r>
            <w:fldChar w:fldCharType="begin"/>
          </w:r>
          <w:r>
            <w:instrText xml:space="preserve"> HYPERLINK \l "__RefHeading___Toc8960" \h </w:instrText>
          </w:r>
          <w:r>
            <w:fldChar w:fldCharType="separate"/>
          </w:r>
          <w:r>
            <w:rPr>
              <w:sz w:val="24"/>
              <w:szCs w:val="24"/>
            </w:rPr>
            <w:t>.3过程管理</w:t>
          </w:r>
          <w:r>
            <w:rPr>
              <w:sz w:val="24"/>
              <w:szCs w:val="24"/>
            </w:rPr>
            <w:tab/>
          </w:r>
          <w:r>
            <w:rPr>
              <w:rFonts w:hint="eastAsia"/>
              <w:sz w:val="24"/>
              <w:szCs w:val="24"/>
            </w:rPr>
            <w:t>3</w:t>
          </w:r>
          <w:r>
            <w:rPr>
              <w:rFonts w:hint="eastAsia"/>
              <w:sz w:val="24"/>
              <w:szCs w:val="24"/>
            </w:rPr>
            <w:fldChar w:fldCharType="end"/>
          </w:r>
          <w:r>
            <w:rPr>
              <w:rFonts w:hint="eastAsia"/>
              <w:sz w:val="24"/>
              <w:szCs w:val="24"/>
            </w:rPr>
            <w:t>5</w:t>
          </w:r>
        </w:p>
        <w:p>
          <w:pPr>
            <w:pStyle w:val="13"/>
            <w:tabs>
              <w:tab w:val="right" w:leader="dot" w:pos="9026"/>
            </w:tabs>
            <w:ind w:left="560"/>
          </w:pPr>
          <w:r>
            <w:rPr>
              <w:sz w:val="24"/>
              <w:szCs w:val="24"/>
            </w:rPr>
            <w:t>9</w:t>
          </w:r>
          <w:r>
            <w:fldChar w:fldCharType="begin"/>
          </w:r>
          <w:r>
            <w:instrText xml:space="preserve"> HYPERLINK \l "__RefHeading___Toc32473" \h </w:instrText>
          </w:r>
          <w:r>
            <w:fldChar w:fldCharType="separate"/>
          </w:r>
          <w:r>
            <w:rPr>
              <w:sz w:val="24"/>
              <w:szCs w:val="24"/>
            </w:rPr>
            <w:t>.4经费保障</w:t>
          </w:r>
          <w:r>
            <w:rPr>
              <w:sz w:val="24"/>
              <w:szCs w:val="24"/>
            </w:rPr>
            <w:tab/>
          </w:r>
          <w:r>
            <w:rPr>
              <w:rFonts w:hint="eastAsia"/>
              <w:sz w:val="24"/>
              <w:szCs w:val="24"/>
            </w:rPr>
            <w:t>3</w:t>
          </w:r>
          <w:r>
            <w:rPr>
              <w:rFonts w:hint="eastAsia"/>
              <w:sz w:val="24"/>
              <w:szCs w:val="24"/>
            </w:rPr>
            <w:fldChar w:fldCharType="end"/>
          </w:r>
          <w:r>
            <w:rPr>
              <w:rFonts w:hint="eastAsia"/>
              <w:sz w:val="24"/>
              <w:szCs w:val="24"/>
            </w:rPr>
            <w:t>5</w:t>
          </w:r>
        </w:p>
        <w:p>
          <w:pPr>
            <w:pStyle w:val="14"/>
            <w:tabs>
              <w:tab w:val="right" w:leader="dot" w:pos="9026"/>
              <w:tab w:val="clear" w:pos="9016"/>
            </w:tabs>
          </w:pPr>
          <w:r>
            <w:rPr>
              <w:sz w:val="24"/>
              <w:szCs w:val="24"/>
            </w:rPr>
            <w:t>十</w:t>
          </w:r>
          <w:r>
            <w:fldChar w:fldCharType="begin"/>
          </w:r>
          <w:r>
            <w:instrText xml:space="preserve"> HYPERLINK \l "__RefHeading___Toc2386" \h </w:instrText>
          </w:r>
          <w:r>
            <w:fldChar w:fldCharType="separate"/>
          </w:r>
          <w:r>
            <w:rPr>
              <w:sz w:val="24"/>
              <w:szCs w:val="24"/>
            </w:rPr>
            <w:t>、经费预算</w:t>
          </w:r>
          <w:r>
            <w:rPr>
              <w:sz w:val="24"/>
              <w:szCs w:val="24"/>
            </w:rPr>
            <w:tab/>
          </w:r>
          <w:r>
            <w:rPr>
              <w:rFonts w:hint="eastAsia"/>
              <w:sz w:val="24"/>
              <w:szCs w:val="24"/>
            </w:rPr>
            <w:t>3</w:t>
          </w:r>
          <w:r>
            <w:rPr>
              <w:sz w:val="24"/>
              <w:szCs w:val="24"/>
            </w:rPr>
            <w:fldChar w:fldCharType="end"/>
          </w:r>
          <w:r>
            <w:rPr>
              <w:sz w:val="24"/>
              <w:szCs w:val="24"/>
            </w:rPr>
            <w:fldChar w:fldCharType="end"/>
          </w:r>
          <w:r>
            <w:rPr>
              <w:rFonts w:hint="eastAsia"/>
              <w:sz w:val="24"/>
              <w:szCs w:val="24"/>
            </w:rPr>
            <w:t>6</w:t>
          </w:r>
        </w:p>
      </w:sdtContent>
    </w:sdt>
    <w:p>
      <w:pPr>
        <w:pStyle w:val="3"/>
        <w:rPr>
          <w:bCs/>
          <w:szCs w:val="32"/>
        </w:rPr>
      </w:pPr>
      <w:bookmarkStart w:id="0" w:name="__RefHeading___Toc26158"/>
      <w:bookmarkEnd w:id="0"/>
      <w:r>
        <w:rPr>
          <w:bCs/>
          <w:szCs w:val="32"/>
        </w:rPr>
        <w:t xml:space="preserve">  </w:t>
      </w:r>
    </w:p>
    <w:p>
      <w:pPr>
        <w:pStyle w:val="3"/>
        <w:ind w:firstLine="643" w:firstLineChars="200"/>
      </w:pPr>
      <w:r>
        <w:rPr>
          <w:bCs/>
          <w:szCs w:val="32"/>
        </w:rPr>
        <w:t>一、</w:t>
      </w:r>
      <w:r>
        <w:t>建设单位基本情况</w:t>
      </w:r>
    </w:p>
    <w:p>
      <w:pPr>
        <w:ind w:firstLine="560" w:firstLineChars="200"/>
      </w:pPr>
      <w:r>
        <w:t>河源理工学校建成于2009年，是由河源市委、市政府投资6.2亿元，采用新建河源理工学校与迁建河源市工业学校（建于1998年）合二为一的方式规划和建设的国家示范性中职学校。学校位于河源市东环路东江教育城，占地面积40万㎡，建筑总面积约20.3万㎡。学校共有在校生约9000人，教职工379人，下设机械制造、交通运输、电子技术、艺术教育、财经旅游、商务管理、信息技术7个教学部共17个专业。</w:t>
      </w:r>
    </w:p>
    <w:p>
      <w:pPr>
        <w:ind w:firstLine="643" w:firstLineChars="200"/>
        <w:rPr>
          <w:b/>
          <w:bCs/>
          <w:sz w:val="32"/>
          <w:szCs w:val="32"/>
        </w:rPr>
      </w:pPr>
      <w:r>
        <w:rPr>
          <w:b/>
          <w:bCs/>
          <w:sz w:val="32"/>
          <w:szCs w:val="32"/>
        </w:rPr>
        <w:t>二、建设基础</w:t>
      </w:r>
    </w:p>
    <w:p>
      <w:pPr>
        <w:pStyle w:val="4"/>
        <w:ind w:firstLine="562" w:firstLineChars="200"/>
      </w:pPr>
      <w:bookmarkStart w:id="1" w:name="__RefHeading___Toc5423"/>
      <w:bookmarkEnd w:id="1"/>
      <w:r>
        <w:t>2.1专业教学实践条件基础</w:t>
      </w:r>
    </w:p>
    <w:p>
      <w:pPr>
        <w:ind w:firstLine="560" w:firstLineChars="200"/>
      </w:pPr>
      <w:r>
        <w:t>建有10个专业实训基地，103个专业实训室，总面积2.9万平方米，实训设备总值6357万元。其中机械类专业有普通机械加工、数控技术、液压传动、工业机器人、计算机辅助设计、模具制造等18个实训室，总值1950万元，总面积4400平方米。交通运输类专业有汽车底盘检测与维修、汽车保养、发动机拆装与检修、电控发动机检测与维修、汽车空调维修、变速器拆装、汽车电气设备检测与维修、汽车装潢与美容、汽车车身修复，汽车喷漆、汽车仿真维修等16个实训室，总值680万元，总面积4700平方米。商务、网络类专业则有移动电商、物流仓储、叉车、电子商务应用、电子商务实战、摄影实训室、网络综合布线室、网络云计算机室、局域网搭建23个实训室，总值1600万元，总面积3800平方米等。</w:t>
      </w:r>
    </w:p>
    <w:p>
      <w:pPr>
        <w:pStyle w:val="4"/>
        <w:ind w:firstLine="562" w:firstLineChars="200"/>
      </w:pPr>
      <w:bookmarkStart w:id="2" w:name="__RefHeading___Toc9889"/>
      <w:bookmarkEnd w:id="2"/>
      <w:r>
        <w:t>2.2专业教学团队基础</w:t>
      </w:r>
    </w:p>
    <w:p>
      <w:pPr>
        <w:ind w:firstLine="560" w:firstLineChars="200"/>
      </w:pPr>
      <w:r>
        <w:t>现有专职教师334人，其中高级职称33人，硕士研究生20人；聘请40名机械企业、交通运输企业、电子商务企业、网络企业工程师、技师作为兼职教师，从事实训教学工作。</w:t>
      </w:r>
    </w:p>
    <w:p>
      <w:pPr>
        <w:pStyle w:val="4"/>
        <w:ind w:firstLine="562" w:firstLineChars="200"/>
      </w:pPr>
      <w:bookmarkStart w:id="3" w:name="__RefHeading___Toc18389"/>
      <w:bookmarkEnd w:id="3"/>
      <w:r>
        <w:t>2.3虚拟仿真资源建设基础</w:t>
      </w:r>
    </w:p>
    <w:p>
      <w:pPr>
        <w:ind w:firstLine="560" w:firstLineChars="200"/>
      </w:pPr>
      <w:r>
        <w:t>我校在前期的专业教学实训中，通过采购、委托开发等方式，建设了一系列专业虚拟仿真实训资源，并应用于教学实训，有效解决了真实工程实训中“看不到、进不去、成本高、风险大”的问题，为我校专业信息化建设积累了大量的工作经验。具体建设内容如下：</w:t>
      </w:r>
    </w:p>
    <w:p>
      <w:pPr>
        <w:ind w:firstLine="560" w:firstLineChars="200"/>
      </w:pPr>
      <w:r>
        <w:t>机械类专业装备有UG、Mastercam、Pro/e等软件的虚拟仿真模块，有广州超软公司开发的数控车床虚拟仿真软件。针对数控、模具专业加工初学者，模拟零件加工的整个过程，模拟中能显示刀具和夹具、检查刀具和夹具与被加工零件的干涉、碰撞情况。学习者通过数控加工仿真，可熟悉数控加工过程，降低数控机床加工实训中易出事故、机床损耗严重等风险，降低耗材费用。截至2020年底已经超过4000名数控模具专业学生通过实训室的学习。五轴加工实训室装备有VERICUT虚拟仿真软件。该实训室2018年11月新建投入使用，截至2020年底已有近2000名数控模具专业学生接受了仿真维修训练，具有数控加工仿真系统，</w:t>
      </w:r>
      <w:r>
        <w:rPr>
          <w:rFonts w:eastAsia="Times New Roman"/>
        </w:rPr>
        <w:t xml:space="preserve"> </w:t>
      </w:r>
      <w:r>
        <w:t>可仿真数控车床、铣床、加工中心、线切割机床和多轴机床等多种加工设备的数控加工。</w:t>
      </w:r>
    </w:p>
    <w:p>
      <w:r>
        <w:t>交通运输类专业在2010年采购了宇龙公司的汽车维修仿真软件，截至2020年底已有超过4000名汽车专业学生接受了仿真维修训练，该软件能够帮助学生快速对汽车维修进行入门学习，能够有效减少学生在实车操作上的失误，减少设备的损耗。2013年引入了运华天地公司的汽车商务软件，在我校没有建立真实的的汽车销售实训基地的情况下，提供了销售专业学习的机会，让学生能够更快的适应4S店的相关软件，截至截至2020年底已经超过2800汽车汽车专业学生通过该实训室的学习，另外再汽车机械制图课程中，对于一些相对复杂的组合体画法的教学中，课任教师也会使用一些三维软件制作一些3D模型让学生更好的理解相关部件的内部结构。</w:t>
      </w:r>
    </w:p>
    <w:p>
      <w:pPr>
        <w:ind w:firstLine="560" w:firstLineChars="200"/>
      </w:pPr>
      <w:r>
        <w:t>其他专业还有物流供应链、市场营销模拟、网络营销模拟等虚拟仿真系统。</w:t>
      </w:r>
    </w:p>
    <w:p>
      <w:pPr>
        <w:ind w:firstLine="560" w:firstLineChars="200"/>
      </w:pPr>
      <w:r>
        <w:t>多年来，河源理工学校坚持立德树人的宗旨，坚持“品质成就人生、技能改变命运”的办学理念，</w:t>
      </w:r>
      <w:r>
        <w:rPr>
          <w:rFonts w:hint="eastAsia"/>
        </w:rPr>
        <w:t>以“人品佳，就好业，上大学”为培养目标，</w:t>
      </w:r>
      <w:r>
        <w:t>不断深化校企合作，不断推进教改课改，在教学实训、校企合作、学生创新创业等方面都建立了扎实的基础。</w:t>
      </w:r>
    </w:p>
    <w:p>
      <w:pPr>
        <w:ind w:firstLine="560" w:firstLineChars="200"/>
      </w:pPr>
      <w:r>
        <w:t>下一步，学校将根据教职成司《关于开展职业教育示范性虚拟仿真实训基地建设工作的通知》、教育部《教育信息化十年发展规划（2011-2020年）》、《职业教育提质培优行动计划（2020-2023）年》等文件要求，编制此方案。遵遁职业教育规律，实训基地着力建设创新发展机制、改革办学模式、增强办学活力，对接产业，深度融入产业链，有效服务社会发展。依托企业，发挥我校“三位一体”职教联盟（学校、政府、企业）的优势，助力粤东西北地区经济区经济建设发展。通过三年（2020.12—2023.12）重点建设，将数字化公共实训基地暨虚拟仿真实训基地建成国家级示范性虚拟仿真实训基地，成为河源市先进制造技术人才培养中心、河源市示范性虚拟仿真培训基地、制造业安全知识普及教育基地；对学校乃至同类职业学校的校企合作实训基地建设示范引领作用明显增强，助力大湾区及河源市经济建设发展，助力我省“中国制造2025”战略建设。</w:t>
      </w:r>
    </w:p>
    <w:p>
      <w:pPr>
        <w:ind w:firstLine="643" w:firstLineChars="200"/>
        <w:rPr>
          <w:b/>
          <w:bCs/>
          <w:sz w:val="32"/>
          <w:szCs w:val="32"/>
        </w:rPr>
      </w:pPr>
      <w:r>
        <w:rPr>
          <w:b/>
          <w:bCs/>
          <w:sz w:val="32"/>
          <w:szCs w:val="32"/>
        </w:rPr>
        <w:t>三、建设的必要性和可行性</w:t>
      </w:r>
    </w:p>
    <w:p>
      <w:pPr>
        <w:pStyle w:val="4"/>
        <w:ind w:firstLine="562" w:firstLineChars="200"/>
      </w:pPr>
      <w:r>
        <w:t>3.1建设的必要性</w:t>
      </w:r>
    </w:p>
    <w:p>
      <w:pPr>
        <w:ind w:firstLine="560" w:firstLineChars="200"/>
      </w:pPr>
      <w:r>
        <w:t>虚拟仿真实训基地的建设是必要的，为了降低耗材成本，机械的损耗，学生像在真实环境中一样通过运用各种虚拟器械设备对项目进行虚拟操作，从而完成各项预定的教学目的，对于某些在现实教学中无法开展的高耗能、高成本、高危的实训项目，学生可以通过虚拟仿真实训室进行，无需考虑安全性、成本高低、实训对象等。学生可以通过观看视频，动手参与，反复练习，还可以根据教学进度结合自身的实际情况，自主选择实训内容极大程度地丰富了实验项目，不仅能够加深学生对知识的理解巩固、同时还大大拓宽学生的知识面，虚拟实训可以反复进行、反复修改，增加学生的实验机会，保证实验方法的掌握。此外，学生可以随时预习和复习实训项目，足不出户便可以进行各种教学实训，彻底打破了实训时间和空间的限制。学生可以主控实训项目学习的主动权，发挥自己的主观能动性，使自己处于项目教学的主导地位，所以建虚拟仿真实训基地是必要的。</w:t>
      </w:r>
    </w:p>
    <w:p>
      <w:pPr>
        <w:pStyle w:val="4"/>
        <w:ind w:firstLine="562" w:firstLineChars="200"/>
      </w:pPr>
      <w:r>
        <w:t>3.1建设的可行性</w:t>
      </w:r>
    </w:p>
    <w:p>
      <w:pPr>
        <w:ind w:firstLine="560" w:firstLineChars="200"/>
        <w:rPr>
          <w:rFonts w:eastAsia="仿宋"/>
          <w:sz w:val="24"/>
          <w:szCs w:val="24"/>
        </w:rPr>
      </w:pPr>
      <w:r>
        <w:t>多年来，河源理工学校坚持立德树人的宗旨，坚持“品质成就人生、技能改变命运”的办学理念，不断深化校企合作，不断推进教改课改，在教学实训、校企合作、学生创新创业等方面都建立了扎实的基础。</w:t>
      </w:r>
    </w:p>
    <w:p>
      <w:r>
        <w:t>下一步，学校将根据教职成司《关于开展职业教育示范性虚拟仿真实训基地建设工作的通知》、教育部《教育信息化十年发展规划（2011-2020年）》、《职业教育提质培优行动计划（2020-2023）年》等文件要求，编制此方案。遵遁职业教育规律，实训基地着力建设创新发展机制、改革办学模式、增强办学活力，对接产业，深度融入产业链，有效服务社会发展。依托企业，发挥我校“三位一体”职教联盟（学校、政府、企业）的优势，助力粤东西北地区经济区经济建设发展。通过二年（2022—2023）重点建设，将数字化公共实训基地暨虚拟仿真实训基地建成国家级示范性虚拟仿真实训基地，成为河源市先进制造技术人才培养中心、河源市示范性虚拟仿真培训基地、制造业安全知识普及教育基地；对学校乃至同类职业学校的校企合作实训基地建设示范引领作用明显增强，助力大湾区及河源市经济建设发展，助力我省“中国制造2025”战略建设是可行的。</w:t>
      </w:r>
    </w:p>
    <w:p>
      <w:pPr>
        <w:pStyle w:val="3"/>
        <w:numPr>
          <w:ilvl w:val="0"/>
          <w:numId w:val="1"/>
        </w:numPr>
      </w:pPr>
      <w:bookmarkStart w:id="4" w:name="__RefHeading___Toc4301"/>
      <w:bookmarkEnd w:id="4"/>
      <w:r>
        <w:t>建设思路</w:t>
      </w:r>
      <w:bookmarkStart w:id="5" w:name="__RefHeading___Toc26780"/>
      <w:bookmarkEnd w:id="5"/>
    </w:p>
    <w:p>
      <w:pPr>
        <w:pStyle w:val="3"/>
        <w:ind w:left="640"/>
      </w:pPr>
      <w:r>
        <w:t>4.1聚焦我校“中国制造2025”重点领域专业群发展，打造符合区域产业特色虚拟仿真实训示范基地</w:t>
      </w:r>
    </w:p>
    <w:p>
      <w:pPr>
        <w:ind w:firstLine="560" w:firstLineChars="200"/>
      </w:pPr>
      <w:r>
        <w:t>《关于开展职业教育示范性虚拟仿真实训基地建设工作的通知》指出：建设职业教育虚拟仿真实训基地，既是改革传统教学育人手段，推进人才培养模式创新的迫切需要，也是强化教学、学习、实训教育教学活动相融合的重要措施。立足于我校机械、交通运输、商贸、网络等专业群，构建学校主导、企业协同、特色鲜明的实训基地创新建设模式。深化专业技能型人才培养、教学实训以及校企合作模式改革，着力培养一批制造业急需、技艺高超的高素质技术技能人才，服务于河源市乃至大湾区制造业的发展，服务于“中国制造2025”战略计划。</w:t>
      </w:r>
    </w:p>
    <w:p>
      <w:pPr>
        <w:pStyle w:val="4"/>
        <w:ind w:firstLine="562" w:firstLineChars="200"/>
      </w:pPr>
      <w:bookmarkStart w:id="6" w:name="__RefHeading___Toc24508"/>
      <w:bookmarkEnd w:id="6"/>
      <w:r>
        <w:t>4.2依托虚拟仿真管理与共享平台的全面部署，探索“理、虚、实一体化”教学实训模式，推动专业教学改革</w:t>
      </w:r>
    </w:p>
    <w:p>
      <w:pPr>
        <w:ind w:firstLine="560" w:firstLineChars="200"/>
      </w:pPr>
      <w:r>
        <w:t>通过管理与共享平台的部署，对虚拟仿真教学基地中的人（师生、企业员工等）、资源（设备、课程、软件等）、功能、数据、场景等要素进行统一集中管理，实现基地资源使用率最大化。虚拟仿真管理与共享平台贯穿理论教学、虚拟实训、实物实训全过程，打破教学实训过程中"信息孤岛"的弊端，构建教学互动的“双向教学”模式，实现教学资源管理、学习情况考评、数据统计分析，为开放共享和持续应用做好技术储备。构建产教融合的“产业化互联”模式，实现校企合作管理和产教一体的应用。构建“理虚实一体化”教学模式，以虚拟实训衔接理论教学和实物实训，避免理论与实训脱节，有效提升教学效率效果，推动我校专业教学模式改革。</w:t>
      </w:r>
    </w:p>
    <w:p>
      <w:pPr>
        <w:pStyle w:val="4"/>
        <w:ind w:firstLine="562" w:firstLineChars="200"/>
      </w:pPr>
      <w:bookmarkStart w:id="7" w:name="__RefHeading___Toc31394"/>
      <w:bookmarkEnd w:id="7"/>
      <w:r>
        <w:t>4.3统筹规划，有机融合，打造加工制造类专业一体化教育体系</w:t>
      </w:r>
    </w:p>
    <w:p>
      <w:pPr>
        <w:ind w:firstLine="560" w:firstLineChars="200"/>
      </w:pPr>
      <w:r>
        <w:t>虚拟仿真实训资源开发建设与专业课程设置相统一，教学资源应用与管理平台相适应，运营管理机制与校企合作相结合。充分考虑我校加工制造类专业实训和社会培训的不同特点，兼顾实训课程设计的专业性和兼容性，建设与虚拟仿真相适应的实训教学课程体系。在此基础上，服务于教学实训、社会产业以及教研科研，打造面向加工制造行业的数字化公共实训基地。</w:t>
      </w:r>
    </w:p>
    <w:p>
      <w:pPr>
        <w:pStyle w:val="4"/>
        <w:ind w:firstLine="562" w:firstLineChars="200"/>
      </w:pPr>
      <w:bookmarkStart w:id="8" w:name="__RefHeading___Toc30033"/>
      <w:bookmarkEnd w:id="8"/>
      <w:r>
        <w:t>4.4校企合作，探索共建区域共建共享机制，深化产教融合</w:t>
      </w:r>
    </w:p>
    <w:p>
      <w:pPr>
        <w:ind w:firstLine="560" w:firstLineChars="200"/>
      </w:pPr>
      <w:r>
        <w:t>确立“行-企-校”三方联动、共建共享机制，与浙大旭日、深圳瀚宇智行科技有限公司、广汽集团、北京新大陆时代科技有限公司、华为技术有限公司等单位合作共建，充分发挥三方优势，深化产教融合。学校提供智力资源，产业提供生产第一手资料，技术公司提供技术开发。依托虚拟仿真实训基地这一平台聚合技术、人才、设备、场地、项目等多类资源，推广现代学徒制、开展校企合作技术服务项目、联合申报科研课题项目等，实现“资源共建、利益共享、人才共培”的建设基准。</w:t>
      </w:r>
    </w:p>
    <w:p>
      <w:pPr>
        <w:pStyle w:val="3"/>
        <w:ind w:firstLine="643" w:firstLineChars="200"/>
      </w:pPr>
      <w:bookmarkStart w:id="9" w:name="__RefHeading___Toc32404"/>
      <w:bookmarkEnd w:id="9"/>
      <w:r>
        <w:t>五、建设目标</w:t>
      </w:r>
    </w:p>
    <w:p>
      <w:pPr>
        <w:ind w:firstLine="560" w:firstLineChars="200"/>
      </w:pPr>
      <w:r>
        <w:t>本项目总体目标为：通过三年建设，将“数字化公共实训基地暨虚拟仿真实训基地“建成国家级示范性虚拟仿真实训基地。成为河源市先进制造技术人才培养中心、河源市示范性虚拟仿真培训基地、制造业安全知识普及教育基地；对学校乃至同类职业学校的校企合作实训基地建设示范引领作用明显增强，助力广东及大湾区经济建设发展，助力我省“中国制造2025”战略建设。</w:t>
      </w:r>
    </w:p>
    <w:p>
      <w:pPr>
        <w:ind w:firstLine="560" w:firstLineChars="200"/>
      </w:pPr>
      <w:r>
        <w:t>具体建设目标体现在以下几点：</w:t>
      </w:r>
    </w:p>
    <w:p>
      <w:pPr>
        <w:pStyle w:val="4"/>
        <w:ind w:firstLine="562" w:firstLineChars="200"/>
      </w:pPr>
      <w:bookmarkStart w:id="10" w:name="__RefHeading___Toc9355"/>
      <w:bookmarkEnd w:id="10"/>
      <w:r>
        <w:t>5.1打造“开放、共享、多功能”的虚拟仿真实训基地</w:t>
      </w:r>
    </w:p>
    <w:p>
      <w:pPr>
        <w:ind w:firstLine="560" w:firstLineChars="200"/>
      </w:pPr>
      <w:r>
        <w:t>通过内容植入快、实用性能高、体验效果好的交互硬件设备，以及教学管理与共享系统，将虚拟仿真实训基地建设成为一个满足多样化场地使用需求、多形式课堂教学需求以及多方位资源建设需求的场所。应用于教学实训、岗位培训、参观体验、职业技能鉴定、技能竞赛、创新创业和专业技术交流等多种场景。支持集中式、引导式、自主式、探索式教学。涵盖中国制造2025通识、岗位安全技能在内的多方位教学资源与实训基地硬件设备深度融合，实现“以实带虚、以虚助实、虚实结合、虚实互补”的虚拟仿真实训效果。</w:t>
      </w:r>
    </w:p>
    <w:p>
      <w:pPr>
        <w:pStyle w:val="4"/>
        <w:ind w:firstLine="562" w:firstLineChars="200"/>
      </w:pPr>
      <w:bookmarkStart w:id="11" w:name="__RefHeading___Toc9298"/>
      <w:bookmarkEnd w:id="11"/>
      <w:r>
        <w:t>5.2练好内功，以新技术、新体验驱动教学资源与模式革新</w:t>
      </w:r>
    </w:p>
    <w:p>
      <w:pPr>
        <w:ind w:firstLine="560" w:firstLineChars="200"/>
      </w:pPr>
      <w:r>
        <w:t>综合运用VR/AR、大数据等技术，建设新型教学资源体系，完成传统教学资源从静态图文向动态交互的升级转变，提升现场体验感和学习投入性。课程体系建设上，从“基础+专业+拓展”三个维度设置相应的高水平教学资源，从而培养加工制造类专业学生的专业能力。以线上展馆为载体，传递加工制造类专业中蕴含的大国工匠精神和制造强国精神，提升本专业学生的职业素养。通过教学资源的升级换代，实现教学实训与3A泛在化、远程教育、自主探索式等新型教学方式不断适应，实现教学从“看中学到玩中学、再到做中学”的升级。</w:t>
      </w:r>
    </w:p>
    <w:p>
      <w:pPr>
        <w:pStyle w:val="4"/>
        <w:ind w:firstLine="562" w:firstLineChars="200"/>
      </w:pPr>
      <w:bookmarkStart w:id="12" w:name="__RefHeading___Toc27431"/>
      <w:bookmarkEnd w:id="12"/>
      <w:r>
        <w:t>5.3走出校门，以“校企合作、产教融合”推进学校社会化服务进程</w:t>
      </w:r>
    </w:p>
    <w:p>
      <w:pPr>
        <w:ind w:firstLine="560" w:firstLineChars="200"/>
      </w:pPr>
      <w:r>
        <w:t>积极开拓创新，通过场地升级、引企入校、工程师常驻机制等一系列措施搭建一个良好的校企合作平台。在此基础上承接社会化培训、创客空间，咨询、服务外包、机械工程安全宣传等对外业务，摆脱一次性建设的困局，实现自身不断发展。在实际项目中锻炼师资队伍、锻炼学生创新创业意识，在工学结合过程中不断提高学生的创新思维与动手能力，提高学生就业竞争力；同时，打造学校自主创新团队与核心力量，依托双创中心运营，充分发挥学校社会服务的功能定位，实现产教深度融合。</w:t>
      </w:r>
    </w:p>
    <w:p>
      <w:pPr>
        <w:pStyle w:val="4"/>
        <w:ind w:firstLine="562" w:firstLineChars="200"/>
      </w:pPr>
      <w:bookmarkStart w:id="13" w:name="__RefHeading___Toc12956"/>
      <w:bookmarkEnd w:id="13"/>
      <w:r>
        <w:t>5.4以“学校-技术公司-行业企业”的建设模式开展共建共享合作</w:t>
      </w:r>
    </w:p>
    <w:p>
      <w:pPr>
        <w:ind w:firstLine="560" w:firstLineChars="200"/>
      </w:pPr>
      <w:r>
        <w:t>不断探索确立合理、有效的运营管理机制。例如，对行业专家指导专业建设的探索与实践、多元化评价体系的实践研究、校企合作服务功能与范围的研究，进一步完善校企合作机制，保障中心在人员、设备、制度、项目等方面的可持续发展。在共享机制方面，积极推进线上统一、线下合作、“有来有往”的实施与运营模式。学校提供场地、团队、平台等资源，技术公司提供对横纵向课题的技术支持，行业企业提供积累的生产、研究案例与经验。学生学习到企业行业“一手”技术，实现“零距离”上岗。</w:t>
      </w:r>
    </w:p>
    <w:p>
      <w:pPr>
        <w:pStyle w:val="3"/>
        <w:ind w:firstLine="643" w:firstLineChars="200"/>
      </w:pPr>
      <w:bookmarkStart w:id="14" w:name="__RefHeading___Toc32015"/>
      <w:bookmarkEnd w:id="14"/>
      <w:r>
        <w:t>六、建设内容</w:t>
      </w:r>
    </w:p>
    <w:p>
      <w:pPr>
        <w:pStyle w:val="4"/>
        <w:ind w:firstLine="562" w:firstLineChars="200"/>
      </w:pPr>
      <w:bookmarkStart w:id="15" w:name="__RefHeading___Toc7477"/>
      <w:bookmarkEnd w:id="15"/>
      <w:r>
        <w:t>6.1总体方案</w:t>
      </w:r>
    </w:p>
    <w:p>
      <w:pPr>
        <w:ind w:firstLine="560" w:firstLineChars="200"/>
      </w:pPr>
      <w:r>
        <w:t>本方案运用VR、AR、WebGL、大数据等多项新技术构建“一体两翼”的虚拟仿真教学与实训体系，建设过程中遵循分区鲜明、主题统一、内容灵活、科技创新的原则，完成对河源理工学校机械、交通运输、电子商务、计算机网络技术等专业群“线上+线下”建设的全面升级。</w:t>
      </w:r>
    </w:p>
    <w:p>
      <w:pPr>
        <w:ind w:firstLine="560" w:firstLineChars="200"/>
      </w:pPr>
      <w:r>
        <w:t>线上升级方面：</w:t>
      </w:r>
      <w:r>
        <w:rPr>
          <w:rFonts w:hint="eastAsia"/>
        </w:rPr>
        <w:t>“</w:t>
      </w:r>
      <w:r>
        <w:t>一体</w:t>
      </w:r>
      <w:r>
        <w:rPr>
          <w:rFonts w:hint="eastAsia"/>
        </w:rPr>
        <w:t>”</w:t>
      </w:r>
      <w:r>
        <w:t>指虚拟仿真教学实训管理云平台，作为后台数据管理支撑平台；</w:t>
      </w:r>
      <w:r>
        <w:rPr>
          <w:rFonts w:hint="eastAsia"/>
        </w:rPr>
        <w:t>“</w:t>
      </w:r>
      <w:r>
        <w:t>两翼</w:t>
      </w:r>
      <w:r>
        <w:rPr>
          <w:rFonts w:hint="eastAsia"/>
        </w:rPr>
        <w:t>”</w:t>
      </w:r>
      <w:r>
        <w:t>指基于VR/AR/WebGL的虚拟仿真教学资源和以微课为核心的数字化课程资源包，提升现场体验感和学习投入性。</w:t>
      </w:r>
    </w:p>
    <w:p>
      <w:r>
        <w:t>线下升级方面：通过VR/AR多功能教学体验中心和产教融合数字化双创中心建设，配套交互硬件设施和文化建设，营造良好的一体化专业教学氛围。另外，通过自主创新开发工具的应用，尤其是基于WebGL技术的应用，完成海量交互资源的创作，实现中心的“资源众筹、自我造血、持续升级”。</w:t>
      </w:r>
    </w:p>
    <w:p>
      <w:pPr>
        <w:ind w:firstLine="560" w:firstLineChars="200"/>
      </w:pPr>
      <w:r>
        <w:t>6.1.1实训场地与教学环境建设</w:t>
      </w:r>
    </w:p>
    <w:p>
      <w:pPr>
        <w:ind w:firstLine="560" w:firstLineChars="200"/>
      </w:pPr>
      <w:r>
        <w:t>坚持科技引领与虚实结合，建设我校机械、交通运输、经贸类专业群教学实训主阵地、主场所。通过引入新科技，将其与理论知识、专业文化、实训设备有机融合，不断提升教学实训应用水平。</w:t>
      </w:r>
    </w:p>
    <w:p>
      <w:pPr>
        <w:ind w:firstLine="560" w:firstLineChars="200"/>
      </w:pPr>
      <w:r>
        <w:t>6.1.2教学实训课程体系建设</w:t>
      </w:r>
    </w:p>
    <w:p>
      <w:pPr>
        <w:ind w:firstLine="560" w:firstLineChars="200"/>
      </w:pPr>
      <w:r>
        <w:t>综合运用VR/AR、线上展馆技术、WebGL技术等现代化技术打造“理虚实一体化”的商务管理专业群教学实训课程体系。以虚拟仿真教学管理与共享系统为支撑后台，VR/AR资源、教学课程为教学资源。</w:t>
      </w:r>
    </w:p>
    <w:p>
      <w:pPr>
        <w:spacing w:line="360" w:lineRule="auto"/>
        <w:jc w:val="center"/>
        <w:rPr>
          <w:rFonts w:ascii="仿宋_GB2312;仿宋" w:hAnsi="仿宋_GB2312;仿宋" w:eastAsia="仿宋_GB2312;仿宋" w:cs="仿宋"/>
          <w:szCs w:val="28"/>
        </w:rPr>
      </w:pPr>
      <w:r>
        <w:drawing>
          <wp:inline distT="0" distB="0" distL="0" distR="0">
            <wp:extent cx="5125720" cy="394398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0"/>
                    <a:srcRect l="-14" t="-18" r="-14" b="-18"/>
                    <a:stretch>
                      <a:fillRect/>
                    </a:stretch>
                  </pic:blipFill>
                  <pic:spPr>
                    <a:xfrm>
                      <a:off x="0" y="0"/>
                      <a:ext cx="5125720" cy="3943985"/>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方案总体架构</w:t>
      </w:r>
    </w:p>
    <w:p/>
    <w:p>
      <w:pPr>
        <w:pStyle w:val="4"/>
        <w:ind w:firstLine="562" w:firstLineChars="200"/>
      </w:pPr>
      <w:bookmarkStart w:id="16" w:name="__RefHeading___Toc22640"/>
      <w:bookmarkEnd w:id="16"/>
      <w:r>
        <w:t>6.2 VR/AR多功能教学体验中心</w:t>
      </w:r>
    </w:p>
    <w:p>
      <w:pPr>
        <w:ind w:firstLine="560" w:firstLineChars="200"/>
      </w:pPr>
      <w:r>
        <w:t>6.2.1场地与环境</w:t>
      </w:r>
    </w:p>
    <w:p>
      <w:pPr>
        <w:ind w:firstLine="560" w:firstLineChars="200"/>
      </w:pPr>
      <w:r>
        <w:t>VR/AR多功能教学体验中心将虚拟实验场地活动与VR/AR技术相聚合，通过VR设备，学生能够沉浸在一个虚拟的世界中。场地内配置为师生的VR教学、参观、体验、宣传等活动提供服务。同时这些技术与元素的有机融合，使得多功能VR活动教室升级到各种技术有机融合的交互体验。</w:t>
      </w:r>
    </w:p>
    <w:p>
      <w:pPr>
        <w:ind w:firstLine="560" w:firstLineChars="200"/>
      </w:pPr>
      <w:r>
        <w:t>6.2.2文化建设</w:t>
      </w:r>
    </w:p>
    <w:p>
      <w:pPr>
        <w:ind w:firstLine="560" w:firstLineChars="200"/>
      </w:pPr>
      <w:r>
        <w:t>配合本校现有场地支持，重点建设线下VR/AR多功能教学体验中心，集展示、体验、培训为一体，推进中心个性化和智能化。展示各项安全培训工作的紧密配合和服务的畅通，既对外树立良好的窗口形象，又对内保证各项工作的顺利进行。装修风格上，体现“科技+创新”的效果；空间格局上，通过墙壁展示相关文字、标语、空间展台展示模型、作品等，体现多功能、开放共享等理念。通过触摸液晶屏展示线下中心发展史、部分教材页、优秀实训作品等内容。</w:t>
      </w:r>
    </w:p>
    <w:p>
      <w:pPr>
        <w:spacing w:line="360" w:lineRule="auto"/>
        <w:rPr>
          <w:rFonts w:ascii="仿宋_GB2312;仿宋" w:hAnsi="仿宋_GB2312;仿宋" w:eastAsia="仿宋_GB2312;仿宋" w:cs="仿宋"/>
          <w:szCs w:val="28"/>
        </w:rPr>
      </w:pPr>
      <w:r>
        <w:rPr>
          <w:rFonts w:ascii="仿宋_GB2312;仿宋" w:hAnsi="仿宋_GB2312;仿宋" w:eastAsia="仿宋_GB2312;仿宋" w:cs="仿宋"/>
          <w:szCs w:val="28"/>
        </w:rPr>
        <w:t> </w:t>
      </w:r>
      <w:r>
        <w:drawing>
          <wp:inline distT="0" distB="0" distL="0" distR="0">
            <wp:extent cx="4641215" cy="16764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srcRect l="-29" t="-43" r="-29" b="-43"/>
                    <a:stretch>
                      <a:fillRect/>
                    </a:stretch>
                  </pic:blipFill>
                  <pic:spPr>
                    <a:xfrm>
                      <a:off x="0" y="0"/>
                      <a:ext cx="4641215" cy="1676400"/>
                    </a:xfrm>
                    <a:prstGeom prst="rect">
                      <a:avLst/>
                    </a:prstGeom>
                  </pic:spPr>
                </pic:pic>
              </a:graphicData>
            </a:graphic>
          </wp:inline>
        </w:drawing>
      </w:r>
      <w:r>
        <w:rPr>
          <w:rFonts w:ascii="Times New Roman" w:hAnsi="Times New Roman" w:eastAsia="宋体;SimSun" w:cs="Times New Roman"/>
          <w:sz w:val="28"/>
        </w:rPr>
        <w:drawing>
          <wp:inline distT="0" distB="0" distL="0" distR="0">
            <wp:extent cx="4545965" cy="2733675"/>
            <wp:effectExtent l="0" t="0" r="6985" b="9525"/>
            <wp:docPr id="3"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像3"/>
                    <pic:cNvPicPr>
                      <a:picLocks noChangeAspect="1" noChangeArrowheads="1"/>
                    </pic:cNvPicPr>
                  </pic:nvPicPr>
                  <pic:blipFill>
                    <a:blip r:embed="rId12"/>
                    <a:srcRect l="-28" t="-43" r="-28" b="-43"/>
                    <a:stretch>
                      <a:fillRect/>
                    </a:stretch>
                  </pic:blipFill>
                  <pic:spPr>
                    <a:xfrm flipV="1">
                      <a:off x="0" y="0"/>
                      <a:ext cx="4545965" cy="2733675"/>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文化风格示意</w:t>
      </w:r>
    </w:p>
    <w:p/>
    <w:p>
      <w:pPr>
        <w:ind w:firstLine="560" w:firstLineChars="200"/>
      </w:pPr>
      <w:r>
        <w:t>6.2.3综合体验区</w:t>
      </w:r>
    </w:p>
    <w:p>
      <w:pPr>
        <w:ind w:firstLine="560" w:firstLineChars="200"/>
      </w:pPr>
      <w:r>
        <w:t>作为学校对外交流展示场所，通过高科技的硬件（如VR一体机、液晶显示屏、光学定位系统等）使得展示的内容灵活多变，学校能够实现持续修改、创新，完成了传统数字与实物展示，内容上与线上数字博物馆系列资源相呼应，包括且不局限于3D打印、大国工匠、工业4.0、机械专业等元素。同时升级到各种技术有机融合的交互体验，呈现出一个“活”的展馆。</w:t>
      </w:r>
    </w:p>
    <w:p>
      <w:pPr>
        <w:spacing w:line="360" w:lineRule="auto"/>
        <w:rPr>
          <w:rFonts w:ascii="仿宋_GB2312;仿宋" w:hAnsi="仿宋_GB2312;仿宋" w:eastAsia="仿宋_GB2312;仿宋" w:cs="仿宋"/>
          <w:szCs w:val="28"/>
        </w:rPr>
      </w:pPr>
      <w:r>
        <w:drawing>
          <wp:inline distT="0" distB="0" distL="0" distR="0">
            <wp:extent cx="2490470" cy="1803400"/>
            <wp:effectExtent l="0" t="0" r="5080" b="635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3"/>
                    <a:srcRect l="-30" t="-40" r="-30" b="-40"/>
                    <a:stretch>
                      <a:fillRect/>
                    </a:stretch>
                  </pic:blipFill>
                  <pic:spPr>
                    <a:xfrm>
                      <a:off x="0" y="0"/>
                      <a:ext cx="2490470" cy="1803400"/>
                    </a:xfrm>
                    <a:prstGeom prst="rect">
                      <a:avLst/>
                    </a:prstGeom>
                  </pic:spPr>
                </pic:pic>
              </a:graphicData>
            </a:graphic>
          </wp:inline>
        </w:drawing>
      </w:r>
      <w:r>
        <w:drawing>
          <wp:inline distT="0" distB="0" distL="0" distR="0">
            <wp:extent cx="2324100" cy="1816100"/>
            <wp:effectExtent l="0" t="0" r="0" b="0"/>
            <wp:docPr id="9" name="图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4"/>
                    <pic:cNvPicPr>
                      <a:picLocks noChangeAspect="1" noChangeArrowheads="1"/>
                    </pic:cNvPicPr>
                  </pic:nvPicPr>
                  <pic:blipFill>
                    <a:blip r:embed="rId14"/>
                    <a:srcRect l="-31" t="-40" r="-31" b="-40"/>
                    <a:stretch>
                      <a:fillRect/>
                    </a:stretch>
                  </pic:blipFill>
                  <pic:spPr>
                    <a:xfrm>
                      <a:off x="0" y="0"/>
                      <a:ext cx="2324100" cy="1816100"/>
                    </a:xfrm>
                    <a:prstGeom prst="rect">
                      <a:avLst/>
                    </a:prstGeom>
                  </pic:spPr>
                </pic:pic>
              </a:graphicData>
            </a:graphic>
          </wp:inline>
        </w:drawing>
      </w:r>
    </w:p>
    <w:p>
      <w:pPr>
        <w:spacing w:line="360" w:lineRule="auto"/>
        <w:rPr>
          <w:rFonts w:ascii="仿宋_GB2312;仿宋" w:hAnsi="仿宋_GB2312;仿宋" w:eastAsia="仿宋_GB2312;仿宋" w:cs="仿宋"/>
          <w:szCs w:val="28"/>
        </w:rPr>
      </w:pPr>
    </w:p>
    <w:p>
      <w:pPr>
        <w:ind w:firstLine="560" w:firstLineChars="200"/>
      </w:pPr>
      <w:r>
        <w:t>6.2.4教学培训区</w:t>
      </w:r>
    </w:p>
    <w:p>
      <w:r>
        <w:t>通过大屏显示系统、VR互动系统等硬件设备的安装布置，满足30人的教学培训需求，是中心开展对内专业实训、翻转课堂、对外培训、讲座教育等多样化教学模式的场所。</w:t>
      </w:r>
    </w:p>
    <w:p>
      <w:pPr>
        <w:spacing w:line="360" w:lineRule="auto"/>
        <w:jc w:val="center"/>
        <w:rPr>
          <w:rFonts w:ascii="仿宋_GB2312;仿宋" w:hAnsi="仿宋_GB2312;仿宋" w:eastAsia="仿宋_GB2312;仿宋" w:cs="仿宋"/>
          <w:szCs w:val="28"/>
        </w:rPr>
      </w:pPr>
      <w:r>
        <w:drawing>
          <wp:inline distT="0" distB="0" distL="0" distR="0">
            <wp:extent cx="5728335" cy="2618105"/>
            <wp:effectExtent l="0" t="0" r="5715" b="0"/>
            <wp:docPr id="1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pic:cNvPicPr>
                      <a:picLocks noChangeAspect="1" noChangeArrowheads="1"/>
                    </pic:cNvPicPr>
                  </pic:nvPicPr>
                  <pic:blipFill>
                    <a:blip r:embed="rId15"/>
                    <a:srcRect l="-16" t="-21" r="-16" b="-21"/>
                    <a:stretch>
                      <a:fillRect/>
                    </a:stretch>
                  </pic:blipFill>
                  <pic:spPr>
                    <a:xfrm>
                      <a:off x="0" y="0"/>
                      <a:ext cx="5728335" cy="2618105"/>
                    </a:xfrm>
                    <a:prstGeom prst="rect">
                      <a:avLst/>
                    </a:prstGeom>
                  </pic:spPr>
                </pic:pic>
              </a:graphicData>
            </a:graphic>
          </wp:inline>
        </w:drawing>
      </w:r>
    </w:p>
    <w:p>
      <w:pPr>
        <w:ind w:firstLine="560" w:firstLineChars="200"/>
      </w:pPr>
      <w:r>
        <w:t>6.2.5体验硬件配置</w:t>
      </w:r>
    </w:p>
    <w:tbl>
      <w:tblPr>
        <w:tblStyle w:val="9"/>
        <w:tblW w:w="9919" w:type="dxa"/>
        <w:jc w:val="center"/>
        <w:tblLayout w:type="fixed"/>
        <w:tblCellMar>
          <w:top w:w="0" w:type="dxa"/>
          <w:left w:w="108" w:type="dxa"/>
          <w:bottom w:w="0" w:type="dxa"/>
          <w:right w:w="108" w:type="dxa"/>
        </w:tblCellMar>
      </w:tblPr>
      <w:tblGrid>
        <w:gridCol w:w="1429"/>
        <w:gridCol w:w="2142"/>
        <w:gridCol w:w="2592"/>
        <w:gridCol w:w="2029"/>
        <w:gridCol w:w="1727"/>
      </w:tblGrid>
      <w:tr>
        <w:tblPrEx>
          <w:tblCellMar>
            <w:top w:w="0" w:type="dxa"/>
            <w:left w:w="108" w:type="dxa"/>
            <w:bottom w:w="0" w:type="dxa"/>
            <w:right w:w="108" w:type="dxa"/>
          </w:tblCellMar>
        </w:tblPrEx>
        <w:trPr>
          <w:jc w:val="center"/>
        </w:trPr>
        <w:tc>
          <w:tcPr>
            <w:tcW w:w="1429" w:type="dxa"/>
            <w:tcBorders>
              <w:top w:val="single" w:color="000000" w:sz="12" w:space="0"/>
              <w:left w:val="single" w:color="000000" w:sz="12" w:space="0"/>
              <w:bottom w:val="single" w:color="000000" w:sz="12" w:space="0"/>
              <w:right w:val="single" w:color="000000" w:sz="4" w:space="0"/>
            </w:tcBorders>
            <w:vAlign w:val="center"/>
          </w:tcPr>
          <w:p>
            <w:pPr>
              <w:rPr>
                <w:sz w:val="24"/>
                <w:szCs w:val="24"/>
              </w:rPr>
            </w:pPr>
            <w:r>
              <w:rPr>
                <w:sz w:val="24"/>
                <w:szCs w:val="24"/>
              </w:rPr>
              <w:t>序号</w:t>
            </w:r>
          </w:p>
        </w:tc>
        <w:tc>
          <w:tcPr>
            <w:tcW w:w="2142" w:type="dxa"/>
            <w:tcBorders>
              <w:top w:val="single" w:color="000000" w:sz="12" w:space="0"/>
              <w:left w:val="single" w:color="000000" w:sz="4" w:space="0"/>
              <w:bottom w:val="single" w:color="000000" w:sz="12" w:space="0"/>
              <w:right w:val="single" w:color="000000" w:sz="4" w:space="0"/>
            </w:tcBorders>
            <w:vAlign w:val="center"/>
          </w:tcPr>
          <w:p>
            <w:pPr>
              <w:rPr>
                <w:sz w:val="24"/>
                <w:szCs w:val="24"/>
              </w:rPr>
            </w:pPr>
            <w:r>
              <w:rPr>
                <w:sz w:val="24"/>
                <w:szCs w:val="24"/>
              </w:rPr>
              <w:t>设备名称</w:t>
            </w:r>
          </w:p>
        </w:tc>
        <w:tc>
          <w:tcPr>
            <w:tcW w:w="2592" w:type="dxa"/>
            <w:tcBorders>
              <w:top w:val="single" w:color="000000" w:sz="12" w:space="0"/>
              <w:left w:val="single" w:color="000000" w:sz="4" w:space="0"/>
              <w:bottom w:val="single" w:color="000000" w:sz="12" w:space="0"/>
              <w:right w:val="single" w:color="000000" w:sz="4" w:space="0"/>
            </w:tcBorders>
            <w:vAlign w:val="center"/>
          </w:tcPr>
          <w:p>
            <w:pPr>
              <w:rPr>
                <w:sz w:val="24"/>
                <w:szCs w:val="24"/>
              </w:rPr>
            </w:pPr>
            <w:r>
              <w:rPr>
                <w:sz w:val="24"/>
                <w:szCs w:val="24"/>
              </w:rPr>
              <w:t>图片示例</w:t>
            </w:r>
          </w:p>
        </w:tc>
        <w:tc>
          <w:tcPr>
            <w:tcW w:w="2029" w:type="dxa"/>
            <w:tcBorders>
              <w:top w:val="single" w:color="000000" w:sz="12" w:space="0"/>
              <w:left w:val="single" w:color="000000" w:sz="4" w:space="0"/>
              <w:bottom w:val="single" w:color="000000" w:sz="12" w:space="0"/>
              <w:right w:val="single" w:color="000000" w:sz="4" w:space="0"/>
            </w:tcBorders>
            <w:vAlign w:val="center"/>
          </w:tcPr>
          <w:p>
            <w:pPr>
              <w:rPr>
                <w:sz w:val="24"/>
                <w:szCs w:val="24"/>
              </w:rPr>
            </w:pPr>
            <w:r>
              <w:rPr>
                <w:sz w:val="24"/>
                <w:szCs w:val="24"/>
              </w:rPr>
              <w:t>用途</w:t>
            </w:r>
          </w:p>
        </w:tc>
        <w:tc>
          <w:tcPr>
            <w:tcW w:w="1727" w:type="dxa"/>
            <w:tcBorders>
              <w:top w:val="single" w:color="000000" w:sz="12" w:space="0"/>
              <w:left w:val="single" w:color="000000" w:sz="4" w:space="0"/>
              <w:bottom w:val="single" w:color="000000" w:sz="12" w:space="0"/>
              <w:right w:val="single" w:color="000000" w:sz="12" w:space="0"/>
            </w:tcBorders>
            <w:vAlign w:val="center"/>
          </w:tcPr>
          <w:p>
            <w:pPr>
              <w:rPr>
                <w:sz w:val="24"/>
                <w:szCs w:val="24"/>
              </w:rPr>
            </w:pPr>
            <w:r>
              <w:rPr>
                <w:sz w:val="24"/>
                <w:szCs w:val="24"/>
              </w:rPr>
              <w:t>数量</w:t>
            </w:r>
          </w:p>
        </w:tc>
      </w:tr>
      <w:tr>
        <w:tblPrEx>
          <w:tblCellMar>
            <w:top w:w="0" w:type="dxa"/>
            <w:left w:w="108" w:type="dxa"/>
            <w:bottom w:w="0" w:type="dxa"/>
            <w:right w:w="108" w:type="dxa"/>
          </w:tblCellMar>
        </w:tblPrEx>
        <w:trPr>
          <w:jc w:val="center"/>
        </w:trPr>
        <w:tc>
          <w:tcPr>
            <w:tcW w:w="9919" w:type="dxa"/>
            <w:gridSpan w:val="5"/>
            <w:tcBorders>
              <w:top w:val="single" w:color="000000" w:sz="8" w:space="0"/>
              <w:left w:val="single" w:color="000000" w:sz="12" w:space="0"/>
              <w:bottom w:val="single" w:color="000000" w:sz="8" w:space="0"/>
              <w:right w:val="single" w:color="000000" w:sz="12" w:space="0"/>
            </w:tcBorders>
            <w:vAlign w:val="center"/>
          </w:tcPr>
          <w:p>
            <w:pPr>
              <w:rPr>
                <w:sz w:val="24"/>
                <w:szCs w:val="24"/>
              </w:rPr>
            </w:pPr>
            <w:r>
              <w:rPr>
                <w:sz w:val="24"/>
                <w:szCs w:val="24"/>
              </w:rPr>
              <w:t>综合体验区</w:t>
            </w:r>
          </w:p>
        </w:tc>
      </w:tr>
      <w:tr>
        <w:tblPrEx>
          <w:tblCellMar>
            <w:top w:w="0" w:type="dxa"/>
            <w:left w:w="108" w:type="dxa"/>
            <w:bottom w:w="0" w:type="dxa"/>
            <w:right w:w="108" w:type="dxa"/>
          </w:tblCellMar>
        </w:tblPrEx>
        <w:trPr>
          <w:jc w:val="center"/>
        </w:trPr>
        <w:tc>
          <w:tcPr>
            <w:tcW w:w="1429" w:type="dxa"/>
            <w:tcBorders>
              <w:top w:val="single" w:color="000000" w:sz="8" w:space="0"/>
              <w:left w:val="single" w:color="000000" w:sz="12" w:space="0"/>
              <w:bottom w:val="single" w:color="000000" w:sz="8" w:space="0"/>
              <w:right w:val="single" w:color="000000" w:sz="4" w:space="0"/>
            </w:tcBorders>
            <w:vAlign w:val="center"/>
          </w:tcPr>
          <w:p>
            <w:pPr>
              <w:rPr>
                <w:sz w:val="24"/>
                <w:szCs w:val="24"/>
              </w:rPr>
            </w:pPr>
            <w:r>
              <w:rPr>
                <w:rFonts w:hint="eastAsia"/>
                <w:sz w:val="24"/>
                <w:szCs w:val="24"/>
              </w:rPr>
              <w:t>1</w:t>
            </w:r>
          </w:p>
        </w:tc>
        <w:tc>
          <w:tcPr>
            <w:tcW w:w="214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sz w:val="24"/>
                <w:szCs w:val="24"/>
              </w:rPr>
              <w:t>VR一体机</w:t>
            </w:r>
          </w:p>
        </w:tc>
        <w:tc>
          <w:tcPr>
            <w:tcW w:w="259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drawing>
                <wp:inline distT="0" distB="0" distL="0" distR="0">
                  <wp:extent cx="1381760" cy="1440180"/>
                  <wp:effectExtent l="0" t="0" r="0" b="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noChangeArrowheads="1"/>
                          </pic:cNvPicPr>
                        </pic:nvPicPr>
                        <pic:blipFill>
                          <a:blip r:embed="rId16"/>
                          <a:srcRect l="-52" t="-50" r="-52" b="-50"/>
                          <a:stretch>
                            <a:fillRect/>
                          </a:stretch>
                        </pic:blipFill>
                        <pic:spPr>
                          <a:xfrm>
                            <a:off x="0" y="0"/>
                            <a:ext cx="1381760" cy="1440180"/>
                          </a:xfrm>
                          <a:prstGeom prst="rect">
                            <a:avLst/>
                          </a:prstGeom>
                        </pic:spPr>
                      </pic:pic>
                    </a:graphicData>
                  </a:graphic>
                </wp:inline>
              </w:drawing>
            </w:r>
          </w:p>
        </w:tc>
        <w:tc>
          <w:tcPr>
            <w:tcW w:w="2029"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sz w:val="24"/>
                <w:szCs w:val="24"/>
              </w:rPr>
              <w:t>提供沉浸式体验</w:t>
            </w:r>
          </w:p>
        </w:tc>
        <w:tc>
          <w:tcPr>
            <w:tcW w:w="1727" w:type="dxa"/>
            <w:tcBorders>
              <w:top w:val="single" w:color="000000" w:sz="8" w:space="0"/>
              <w:left w:val="single" w:color="000000" w:sz="4" w:space="0"/>
              <w:bottom w:val="single" w:color="000000" w:sz="8" w:space="0"/>
              <w:right w:val="single" w:color="000000" w:sz="12" w:space="0"/>
            </w:tcBorders>
            <w:vAlign w:val="center"/>
          </w:tcPr>
          <w:p>
            <w:pPr>
              <w:rPr>
                <w:sz w:val="24"/>
                <w:szCs w:val="24"/>
              </w:rPr>
            </w:pPr>
            <w:r>
              <w:rPr>
                <w:rFonts w:hint="eastAsia"/>
                <w:sz w:val="24"/>
                <w:szCs w:val="24"/>
              </w:rPr>
              <w:t>2</w:t>
            </w:r>
            <w:r>
              <w:rPr>
                <w:sz w:val="24"/>
                <w:szCs w:val="24"/>
              </w:rPr>
              <w:t>台</w:t>
            </w:r>
          </w:p>
        </w:tc>
      </w:tr>
      <w:tr>
        <w:tblPrEx>
          <w:tblCellMar>
            <w:top w:w="0" w:type="dxa"/>
            <w:left w:w="108" w:type="dxa"/>
            <w:bottom w:w="0" w:type="dxa"/>
            <w:right w:w="108" w:type="dxa"/>
          </w:tblCellMar>
        </w:tblPrEx>
        <w:trPr>
          <w:jc w:val="center"/>
        </w:trPr>
        <w:tc>
          <w:tcPr>
            <w:tcW w:w="1429" w:type="dxa"/>
            <w:tcBorders>
              <w:top w:val="single" w:color="000000" w:sz="8" w:space="0"/>
              <w:left w:val="single" w:color="000000" w:sz="12" w:space="0"/>
              <w:bottom w:val="single" w:color="000000" w:sz="8" w:space="0"/>
              <w:right w:val="single" w:color="000000" w:sz="4" w:space="0"/>
            </w:tcBorders>
            <w:vAlign w:val="center"/>
          </w:tcPr>
          <w:p>
            <w:pPr>
              <w:rPr>
                <w:sz w:val="24"/>
                <w:szCs w:val="24"/>
              </w:rPr>
            </w:pPr>
            <w:r>
              <w:rPr>
                <w:rFonts w:hint="eastAsia"/>
                <w:sz w:val="24"/>
                <w:szCs w:val="24"/>
              </w:rPr>
              <w:t>2</w:t>
            </w:r>
          </w:p>
        </w:tc>
        <w:tc>
          <w:tcPr>
            <w:tcW w:w="214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sz w:val="24"/>
                <w:szCs w:val="24"/>
              </w:rPr>
              <w:t>立式卧屏电脑</w:t>
            </w:r>
          </w:p>
        </w:tc>
        <w:tc>
          <w:tcPr>
            <w:tcW w:w="259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drawing>
                <wp:inline distT="0" distB="0" distL="0" distR="0">
                  <wp:extent cx="1339850" cy="117348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noChangeArrowheads="1"/>
                          </pic:cNvPicPr>
                        </pic:nvPicPr>
                        <pic:blipFill>
                          <a:blip r:embed="rId17"/>
                          <a:srcRect l="-54" t="-61" r="-54" b="-61"/>
                          <a:stretch>
                            <a:fillRect/>
                          </a:stretch>
                        </pic:blipFill>
                        <pic:spPr>
                          <a:xfrm>
                            <a:off x="0" y="0"/>
                            <a:ext cx="1339850" cy="1173480"/>
                          </a:xfrm>
                          <a:prstGeom prst="rect">
                            <a:avLst/>
                          </a:prstGeom>
                        </pic:spPr>
                      </pic:pic>
                    </a:graphicData>
                  </a:graphic>
                </wp:inline>
              </w:drawing>
            </w:r>
          </w:p>
        </w:tc>
        <w:tc>
          <w:tcPr>
            <w:tcW w:w="2029"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sz w:val="24"/>
                <w:szCs w:val="24"/>
              </w:rPr>
              <w:t>呈现AR资源、VR软件等</w:t>
            </w:r>
          </w:p>
        </w:tc>
        <w:tc>
          <w:tcPr>
            <w:tcW w:w="1727" w:type="dxa"/>
            <w:tcBorders>
              <w:top w:val="single" w:color="000000" w:sz="8" w:space="0"/>
              <w:left w:val="single" w:color="000000" w:sz="4" w:space="0"/>
              <w:bottom w:val="single" w:color="000000" w:sz="8" w:space="0"/>
              <w:right w:val="single" w:color="000000" w:sz="12" w:space="0"/>
            </w:tcBorders>
            <w:vAlign w:val="center"/>
          </w:tcPr>
          <w:p>
            <w:pPr>
              <w:rPr>
                <w:sz w:val="24"/>
                <w:szCs w:val="24"/>
              </w:rPr>
            </w:pPr>
            <w:r>
              <w:rPr>
                <w:sz w:val="24"/>
                <w:szCs w:val="24"/>
              </w:rPr>
              <w:t>2</w:t>
            </w:r>
          </w:p>
        </w:tc>
      </w:tr>
      <w:tr>
        <w:tblPrEx>
          <w:tblCellMar>
            <w:top w:w="0" w:type="dxa"/>
            <w:left w:w="108" w:type="dxa"/>
            <w:bottom w:w="0" w:type="dxa"/>
            <w:right w:w="108" w:type="dxa"/>
          </w:tblCellMar>
        </w:tblPrEx>
        <w:trPr>
          <w:jc w:val="center"/>
        </w:trPr>
        <w:tc>
          <w:tcPr>
            <w:tcW w:w="1429" w:type="dxa"/>
            <w:tcBorders>
              <w:top w:val="single" w:color="000000" w:sz="8" w:space="0"/>
              <w:left w:val="single" w:color="000000" w:sz="12" w:space="0"/>
              <w:bottom w:val="single" w:color="000000" w:sz="8" w:space="0"/>
              <w:right w:val="single" w:color="000000" w:sz="4" w:space="0"/>
            </w:tcBorders>
            <w:vAlign w:val="center"/>
          </w:tcPr>
          <w:p>
            <w:pPr>
              <w:rPr>
                <w:sz w:val="24"/>
                <w:szCs w:val="24"/>
              </w:rPr>
            </w:pPr>
            <w:r>
              <w:rPr>
                <w:rFonts w:hint="eastAsia"/>
                <w:sz w:val="24"/>
                <w:szCs w:val="24"/>
              </w:rPr>
              <w:t>3</w:t>
            </w:r>
          </w:p>
        </w:tc>
        <w:tc>
          <w:tcPr>
            <w:tcW w:w="214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sz w:val="24"/>
                <w:szCs w:val="24"/>
              </w:rPr>
              <w:t>沙发</w:t>
            </w:r>
          </w:p>
        </w:tc>
        <w:tc>
          <w:tcPr>
            <w:tcW w:w="259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drawing>
                <wp:inline distT="0" distB="0" distL="0" distR="0">
                  <wp:extent cx="1133475" cy="1152525"/>
                  <wp:effectExtent l="0" t="0" r="0"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noChangeArrowheads="1"/>
                          </pic:cNvPicPr>
                        </pic:nvPicPr>
                        <pic:blipFill>
                          <a:blip r:embed="rId18"/>
                          <a:srcRect l="-64" t="-62" r="-64" b="-62"/>
                          <a:stretch>
                            <a:fillRect/>
                          </a:stretch>
                        </pic:blipFill>
                        <pic:spPr>
                          <a:xfrm>
                            <a:off x="0" y="0"/>
                            <a:ext cx="1133475" cy="1152525"/>
                          </a:xfrm>
                          <a:prstGeom prst="rect">
                            <a:avLst/>
                          </a:prstGeom>
                        </pic:spPr>
                      </pic:pic>
                    </a:graphicData>
                  </a:graphic>
                </wp:inline>
              </w:drawing>
            </w:r>
          </w:p>
        </w:tc>
        <w:tc>
          <w:tcPr>
            <w:tcW w:w="2029"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sz w:val="24"/>
                <w:szCs w:val="24"/>
              </w:rPr>
              <w:t>外来参观休息</w:t>
            </w:r>
          </w:p>
        </w:tc>
        <w:tc>
          <w:tcPr>
            <w:tcW w:w="1727" w:type="dxa"/>
            <w:tcBorders>
              <w:top w:val="single" w:color="000000" w:sz="8" w:space="0"/>
              <w:left w:val="single" w:color="000000" w:sz="4" w:space="0"/>
              <w:bottom w:val="single" w:color="000000" w:sz="8" w:space="0"/>
              <w:right w:val="single" w:color="000000" w:sz="12" w:space="0"/>
            </w:tcBorders>
            <w:vAlign w:val="center"/>
          </w:tcPr>
          <w:p>
            <w:pPr>
              <w:rPr>
                <w:sz w:val="24"/>
                <w:szCs w:val="24"/>
              </w:rPr>
            </w:pPr>
            <w:r>
              <w:rPr>
                <w:rFonts w:hint="eastAsia"/>
                <w:sz w:val="24"/>
                <w:szCs w:val="24"/>
              </w:rPr>
              <w:t>2</w:t>
            </w:r>
            <w:r>
              <w:rPr>
                <w:sz w:val="24"/>
                <w:szCs w:val="24"/>
              </w:rPr>
              <w:t>张</w:t>
            </w:r>
          </w:p>
        </w:tc>
      </w:tr>
      <w:tr>
        <w:tblPrEx>
          <w:tblCellMar>
            <w:top w:w="0" w:type="dxa"/>
            <w:left w:w="108" w:type="dxa"/>
            <w:bottom w:w="0" w:type="dxa"/>
            <w:right w:w="108" w:type="dxa"/>
          </w:tblCellMar>
        </w:tblPrEx>
        <w:trPr>
          <w:jc w:val="center"/>
        </w:trPr>
        <w:tc>
          <w:tcPr>
            <w:tcW w:w="9919" w:type="dxa"/>
            <w:gridSpan w:val="5"/>
            <w:tcBorders>
              <w:top w:val="single" w:color="000000" w:sz="4" w:space="0"/>
              <w:left w:val="single" w:color="000000" w:sz="12" w:space="0"/>
              <w:bottom w:val="single" w:color="000000" w:sz="12" w:space="0"/>
              <w:right w:val="single" w:color="000000" w:sz="12" w:space="0"/>
            </w:tcBorders>
            <w:vAlign w:val="center"/>
          </w:tcPr>
          <w:p>
            <w:pPr>
              <w:rPr>
                <w:sz w:val="24"/>
                <w:szCs w:val="24"/>
              </w:rPr>
            </w:pPr>
            <w:r>
              <w:rPr>
                <w:sz w:val="24"/>
                <w:szCs w:val="24"/>
              </w:rPr>
              <w:t>教育培训区</w:t>
            </w:r>
          </w:p>
        </w:tc>
      </w:tr>
      <w:tr>
        <w:tblPrEx>
          <w:tblCellMar>
            <w:top w:w="0" w:type="dxa"/>
            <w:left w:w="108" w:type="dxa"/>
            <w:bottom w:w="0" w:type="dxa"/>
            <w:right w:w="108" w:type="dxa"/>
          </w:tblCellMar>
        </w:tblPrEx>
        <w:trPr>
          <w:jc w:val="center"/>
        </w:trPr>
        <w:tc>
          <w:tcPr>
            <w:tcW w:w="1429" w:type="dxa"/>
            <w:tcBorders>
              <w:top w:val="single" w:color="000000" w:sz="8" w:space="0"/>
              <w:left w:val="single" w:color="000000" w:sz="12" w:space="0"/>
              <w:bottom w:val="single" w:color="000000" w:sz="8" w:space="0"/>
              <w:right w:val="single" w:color="000000" w:sz="4" w:space="0"/>
            </w:tcBorders>
            <w:vAlign w:val="center"/>
          </w:tcPr>
          <w:p>
            <w:pPr>
              <w:rPr>
                <w:sz w:val="24"/>
                <w:szCs w:val="24"/>
              </w:rPr>
            </w:pPr>
            <w:r>
              <w:rPr>
                <w:rFonts w:hint="eastAsia"/>
                <w:sz w:val="24"/>
                <w:szCs w:val="24"/>
              </w:rPr>
              <w:t>4</w:t>
            </w:r>
          </w:p>
        </w:tc>
        <w:tc>
          <w:tcPr>
            <w:tcW w:w="214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sz w:val="24"/>
                <w:szCs w:val="24"/>
              </w:rPr>
              <w:t>VR头盔</w:t>
            </w:r>
          </w:p>
        </w:tc>
        <w:tc>
          <w:tcPr>
            <w:tcW w:w="259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drawing>
                <wp:inline distT="0" distB="0" distL="0" distR="0">
                  <wp:extent cx="1403350" cy="1104900"/>
                  <wp:effectExtent l="0" t="0" r="0" b="0"/>
                  <wp:docPr id="2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8"/>
                          <pic:cNvPicPr>
                            <a:picLocks noChangeAspect="1" noChangeArrowheads="1"/>
                          </pic:cNvPicPr>
                        </pic:nvPicPr>
                        <pic:blipFill>
                          <a:blip r:embed="rId19"/>
                          <a:srcRect l="-33" t="-41" r="-33" b="-41"/>
                          <a:stretch>
                            <a:fillRect/>
                          </a:stretch>
                        </pic:blipFill>
                        <pic:spPr>
                          <a:xfrm>
                            <a:off x="0" y="0"/>
                            <a:ext cx="1403350" cy="1104900"/>
                          </a:xfrm>
                          <a:prstGeom prst="rect">
                            <a:avLst/>
                          </a:prstGeom>
                        </pic:spPr>
                      </pic:pic>
                    </a:graphicData>
                  </a:graphic>
                </wp:inline>
              </w:drawing>
            </w:r>
          </w:p>
        </w:tc>
        <w:tc>
          <w:tcPr>
            <w:tcW w:w="2029"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sz w:val="24"/>
                <w:szCs w:val="24"/>
              </w:rPr>
              <w:t>提供沉浸式的虚拟现实体验。</w:t>
            </w:r>
          </w:p>
        </w:tc>
        <w:tc>
          <w:tcPr>
            <w:tcW w:w="1727" w:type="dxa"/>
            <w:tcBorders>
              <w:top w:val="single" w:color="000000" w:sz="8" w:space="0"/>
              <w:left w:val="single" w:color="000000" w:sz="4" w:space="0"/>
              <w:bottom w:val="single" w:color="000000" w:sz="8" w:space="0"/>
              <w:right w:val="single" w:color="000000" w:sz="12" w:space="0"/>
            </w:tcBorders>
            <w:vAlign w:val="center"/>
          </w:tcPr>
          <w:p>
            <w:pPr>
              <w:rPr>
                <w:sz w:val="24"/>
                <w:szCs w:val="24"/>
              </w:rPr>
            </w:pPr>
            <w:r>
              <w:rPr>
                <w:rFonts w:hint="eastAsia"/>
                <w:sz w:val="24"/>
                <w:szCs w:val="24"/>
              </w:rPr>
              <w:t>6</w:t>
            </w:r>
          </w:p>
        </w:tc>
      </w:tr>
      <w:tr>
        <w:tblPrEx>
          <w:tblCellMar>
            <w:top w:w="0" w:type="dxa"/>
            <w:left w:w="108" w:type="dxa"/>
            <w:bottom w:w="0" w:type="dxa"/>
            <w:right w:w="108" w:type="dxa"/>
          </w:tblCellMar>
        </w:tblPrEx>
        <w:trPr>
          <w:jc w:val="center"/>
        </w:trPr>
        <w:tc>
          <w:tcPr>
            <w:tcW w:w="1429" w:type="dxa"/>
            <w:tcBorders>
              <w:top w:val="single" w:color="000000" w:sz="8" w:space="0"/>
              <w:left w:val="single" w:color="000000" w:sz="12" w:space="0"/>
              <w:bottom w:val="single" w:color="000000" w:sz="8" w:space="0"/>
              <w:right w:val="single" w:color="000000" w:sz="4" w:space="0"/>
            </w:tcBorders>
            <w:vAlign w:val="center"/>
          </w:tcPr>
          <w:p>
            <w:pPr>
              <w:rPr>
                <w:sz w:val="24"/>
                <w:szCs w:val="24"/>
              </w:rPr>
            </w:pPr>
            <w:r>
              <w:rPr>
                <w:rFonts w:hint="eastAsia"/>
                <w:sz w:val="24"/>
                <w:szCs w:val="24"/>
              </w:rPr>
              <w:t>5</w:t>
            </w:r>
          </w:p>
        </w:tc>
        <w:tc>
          <w:tcPr>
            <w:tcW w:w="214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sz w:val="24"/>
                <w:szCs w:val="24"/>
              </w:rPr>
              <w:t>MR头盔</w:t>
            </w:r>
          </w:p>
        </w:tc>
        <w:tc>
          <w:tcPr>
            <w:tcW w:w="259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drawing>
                <wp:inline distT="0" distB="0" distL="114300" distR="114300">
                  <wp:extent cx="1504950" cy="758825"/>
                  <wp:effectExtent l="0" t="0" r="3810" b="31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1504950" cy="758825"/>
                          </a:xfrm>
                          <a:prstGeom prst="rect">
                            <a:avLst/>
                          </a:prstGeom>
                          <a:noFill/>
                          <a:ln>
                            <a:noFill/>
                          </a:ln>
                        </pic:spPr>
                      </pic:pic>
                    </a:graphicData>
                  </a:graphic>
                </wp:inline>
              </w:drawing>
            </w:r>
          </w:p>
        </w:tc>
        <w:tc>
          <w:tcPr>
            <w:tcW w:w="2029"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sz w:val="24"/>
                <w:szCs w:val="24"/>
              </w:rPr>
              <w:t>通过虚拟信息与现实世界进行更加深度的融合，达到完全的虚实相融。</w:t>
            </w:r>
          </w:p>
        </w:tc>
        <w:tc>
          <w:tcPr>
            <w:tcW w:w="1727" w:type="dxa"/>
            <w:tcBorders>
              <w:top w:val="single" w:color="000000" w:sz="8" w:space="0"/>
              <w:left w:val="single" w:color="000000" w:sz="4" w:space="0"/>
              <w:bottom w:val="single" w:color="000000" w:sz="8" w:space="0"/>
              <w:right w:val="single" w:color="000000" w:sz="12" w:space="0"/>
            </w:tcBorders>
            <w:vAlign w:val="center"/>
          </w:tcPr>
          <w:p>
            <w:pPr>
              <w:rPr>
                <w:sz w:val="24"/>
                <w:szCs w:val="24"/>
              </w:rPr>
            </w:pPr>
            <w:r>
              <w:rPr>
                <w:rFonts w:hint="eastAsia"/>
                <w:sz w:val="24"/>
                <w:szCs w:val="24"/>
              </w:rPr>
              <w:t>6</w:t>
            </w:r>
          </w:p>
        </w:tc>
      </w:tr>
      <w:tr>
        <w:tblPrEx>
          <w:tblCellMar>
            <w:top w:w="0" w:type="dxa"/>
            <w:left w:w="108" w:type="dxa"/>
            <w:bottom w:w="0" w:type="dxa"/>
            <w:right w:w="108" w:type="dxa"/>
          </w:tblCellMar>
        </w:tblPrEx>
        <w:trPr>
          <w:jc w:val="center"/>
        </w:trPr>
        <w:tc>
          <w:tcPr>
            <w:tcW w:w="1429" w:type="dxa"/>
            <w:tcBorders>
              <w:top w:val="single" w:color="000000" w:sz="8" w:space="0"/>
              <w:left w:val="single" w:color="000000" w:sz="12" w:space="0"/>
              <w:bottom w:val="single" w:color="000000" w:sz="8" w:space="0"/>
              <w:right w:val="single" w:color="000000" w:sz="4" w:space="0"/>
            </w:tcBorders>
            <w:vAlign w:val="center"/>
          </w:tcPr>
          <w:p>
            <w:pPr>
              <w:rPr>
                <w:sz w:val="24"/>
                <w:szCs w:val="24"/>
              </w:rPr>
            </w:pPr>
            <w:r>
              <w:rPr>
                <w:rFonts w:hint="eastAsia"/>
                <w:sz w:val="24"/>
                <w:szCs w:val="24"/>
              </w:rPr>
              <w:t>6</w:t>
            </w:r>
          </w:p>
        </w:tc>
        <w:tc>
          <w:tcPr>
            <w:tcW w:w="214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rFonts w:hint="eastAsia"/>
                <w:sz w:val="24"/>
                <w:szCs w:val="24"/>
              </w:rPr>
              <w:t>虚拟现实专用</w:t>
            </w:r>
            <w:r>
              <w:rPr>
                <w:sz w:val="24"/>
                <w:szCs w:val="24"/>
              </w:rPr>
              <w:t>高性能电脑</w:t>
            </w:r>
          </w:p>
        </w:tc>
        <w:tc>
          <w:tcPr>
            <w:tcW w:w="2592"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drawing>
                <wp:inline distT="0" distB="0" distL="0" distR="0">
                  <wp:extent cx="1419225" cy="1011555"/>
                  <wp:effectExtent l="0" t="0" r="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noChangeArrowheads="1"/>
                          </pic:cNvPicPr>
                        </pic:nvPicPr>
                        <pic:blipFill>
                          <a:blip r:embed="rId21"/>
                          <a:srcRect l="-51" t="-71" r="-51" b="-71"/>
                          <a:stretch>
                            <a:fillRect/>
                          </a:stretch>
                        </pic:blipFill>
                        <pic:spPr>
                          <a:xfrm>
                            <a:off x="0" y="0"/>
                            <a:ext cx="1419225" cy="1011555"/>
                          </a:xfrm>
                          <a:prstGeom prst="rect">
                            <a:avLst/>
                          </a:prstGeom>
                        </pic:spPr>
                      </pic:pic>
                    </a:graphicData>
                  </a:graphic>
                </wp:inline>
              </w:drawing>
            </w:r>
          </w:p>
        </w:tc>
        <w:tc>
          <w:tcPr>
            <w:tcW w:w="2029" w:type="dxa"/>
            <w:tcBorders>
              <w:top w:val="single" w:color="000000" w:sz="8" w:space="0"/>
              <w:left w:val="single" w:color="000000" w:sz="4" w:space="0"/>
              <w:bottom w:val="single" w:color="000000" w:sz="8" w:space="0"/>
              <w:right w:val="single" w:color="000000" w:sz="4" w:space="0"/>
            </w:tcBorders>
            <w:vAlign w:val="center"/>
          </w:tcPr>
          <w:p>
            <w:pPr>
              <w:rPr>
                <w:sz w:val="24"/>
                <w:szCs w:val="24"/>
              </w:rPr>
            </w:pPr>
            <w:r>
              <w:rPr>
                <w:sz w:val="24"/>
                <w:szCs w:val="24"/>
              </w:rPr>
              <w:t>正常教学工作</w:t>
            </w:r>
          </w:p>
        </w:tc>
        <w:tc>
          <w:tcPr>
            <w:tcW w:w="1727" w:type="dxa"/>
            <w:tcBorders>
              <w:top w:val="single" w:color="000000" w:sz="8" w:space="0"/>
              <w:left w:val="single" w:color="000000" w:sz="4" w:space="0"/>
              <w:bottom w:val="single" w:color="000000" w:sz="8" w:space="0"/>
              <w:right w:val="single" w:color="000000" w:sz="12" w:space="0"/>
            </w:tcBorders>
            <w:vAlign w:val="center"/>
          </w:tcPr>
          <w:p>
            <w:pPr>
              <w:rPr>
                <w:sz w:val="24"/>
                <w:szCs w:val="24"/>
              </w:rPr>
            </w:pPr>
            <w:r>
              <w:rPr>
                <w:rFonts w:hint="eastAsia"/>
                <w:sz w:val="24"/>
                <w:szCs w:val="24"/>
              </w:rPr>
              <w:t>6</w:t>
            </w:r>
            <w:r>
              <w:rPr>
                <w:sz w:val="24"/>
                <w:szCs w:val="24"/>
              </w:rPr>
              <w:t>台</w:t>
            </w:r>
          </w:p>
        </w:tc>
      </w:tr>
    </w:tbl>
    <w:p/>
    <w:p>
      <w:pPr>
        <w:pStyle w:val="4"/>
        <w:ind w:firstLine="562" w:firstLineChars="200"/>
      </w:pPr>
      <w:bookmarkStart w:id="17" w:name="__RefHeading___Toc17704"/>
      <w:bookmarkEnd w:id="17"/>
      <w:r>
        <w:t>6.3专业群精品课程资源库</w:t>
      </w:r>
    </w:p>
    <w:p>
      <w:pPr>
        <w:ind w:firstLine="560" w:firstLineChars="200"/>
      </w:pPr>
      <w:r>
        <w:t>6.3.1简述</w:t>
      </w:r>
    </w:p>
    <w:p>
      <w:pPr>
        <w:ind w:firstLine="560" w:firstLineChars="200"/>
      </w:pPr>
      <w:r>
        <w:t>针对本校机械、交通运输、电子商务、计算机网络技术等专业群的面向产业与对象，采用“三位一体”的开发模式，即学校、生产企业、专业制作公司协同开发，制作开发基础类、专业类和特色类三大类课程资源，以满足学校师生日常教学应用。</w:t>
      </w:r>
    </w:p>
    <w:p>
      <w:pPr>
        <w:spacing w:line="360" w:lineRule="auto"/>
        <w:jc w:val="center"/>
        <w:rPr>
          <w:rFonts w:ascii="仿宋_GB2312;仿宋" w:hAnsi="仿宋_GB2312;仿宋" w:eastAsia="仿宋_GB2312;仿宋" w:cs="仿宋"/>
          <w:szCs w:val="28"/>
        </w:rPr>
      </w:pPr>
      <w:r>
        <w:drawing>
          <wp:inline distT="0" distB="0" distL="0" distR="0">
            <wp:extent cx="3770630" cy="2727960"/>
            <wp:effectExtent l="0" t="0" r="0" b="0"/>
            <wp:docPr id="2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2"/>
                    <pic:cNvPicPr>
                      <a:picLocks noChangeAspect="1" noChangeArrowheads="1"/>
                    </pic:cNvPicPr>
                  </pic:nvPicPr>
                  <pic:blipFill>
                    <a:blip r:embed="rId22"/>
                    <a:srcRect l="-13" t="-19" r="-13" b="-19"/>
                    <a:stretch>
                      <a:fillRect/>
                    </a:stretch>
                  </pic:blipFill>
                  <pic:spPr>
                    <a:xfrm>
                      <a:off x="0" y="0"/>
                      <a:ext cx="3770630" cy="2727960"/>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三位一体协同开发</w:t>
      </w:r>
    </w:p>
    <w:p>
      <w:pPr>
        <w:spacing w:line="360" w:lineRule="auto"/>
        <w:rPr>
          <w:rFonts w:ascii="仿宋_GB2312;仿宋" w:hAnsi="仿宋_GB2312;仿宋" w:eastAsia="仿宋_GB2312;仿宋" w:cs="仿宋"/>
          <w:szCs w:val="28"/>
        </w:rPr>
      </w:pPr>
    </w:p>
    <w:p>
      <w:pPr>
        <w:ind w:firstLine="560" w:firstLineChars="200"/>
      </w:pPr>
      <w:r>
        <w:t>6.3.2资源制作开发流程</w:t>
      </w:r>
    </w:p>
    <w:p>
      <w:pPr>
        <w:ind w:firstLine="560" w:firstLineChars="200"/>
      </w:pPr>
      <w:r>
        <w:t>课程教学资源建设采用一线教师提需求、课程专家与一线教师定方案，通过校企双方合作，企业与一线教师组建课程开发团队，每门课程设立校企双负责人，教师和企业技术管理专家联手建设。专业技术公司负责数字教材的技术处理工作。课程教学资源建设开发技术路线如图所示:</w:t>
      </w:r>
    </w:p>
    <w:p>
      <w:pPr>
        <w:spacing w:line="360" w:lineRule="auto"/>
        <w:rPr>
          <w:rFonts w:ascii="仿宋_GB2312;仿宋" w:hAnsi="仿宋_GB2312;仿宋" w:eastAsia="仿宋_GB2312;仿宋" w:cs="仿宋"/>
          <w:szCs w:val="28"/>
        </w:rPr>
      </w:pPr>
      <w:r>
        <w:drawing>
          <wp:inline distT="0" distB="0" distL="0" distR="0">
            <wp:extent cx="5339715" cy="3463290"/>
            <wp:effectExtent l="0" t="0" r="0" b="0"/>
            <wp:docPr id="27" name="图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像9"/>
                    <pic:cNvPicPr>
                      <a:picLocks noChangeAspect="1" noChangeArrowheads="1"/>
                    </pic:cNvPicPr>
                  </pic:nvPicPr>
                  <pic:blipFill>
                    <a:blip r:embed="rId23"/>
                    <a:srcRect l="-16" t="-26" r="-16" b="-26"/>
                    <a:stretch>
                      <a:fillRect/>
                    </a:stretch>
                  </pic:blipFill>
                  <pic:spPr>
                    <a:xfrm>
                      <a:off x="0" y="0"/>
                      <a:ext cx="5339715" cy="3463290"/>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课程教学资源建设开发技术路线</w:t>
      </w:r>
    </w:p>
    <w:p>
      <w:pPr>
        <w:spacing w:line="360" w:lineRule="auto"/>
        <w:rPr>
          <w:rFonts w:ascii="仿宋_GB2312;仿宋" w:hAnsi="仿宋_GB2312;仿宋" w:eastAsia="仿宋_GB2312;仿宋" w:cs="仿宋"/>
          <w:szCs w:val="28"/>
        </w:rPr>
      </w:pPr>
    </w:p>
    <w:p>
      <w:pPr>
        <w:ind w:firstLine="560" w:firstLineChars="200"/>
      </w:pPr>
      <w:r>
        <w:t>6.3.3建设内容与分工</w:t>
      </w:r>
    </w:p>
    <w:tbl>
      <w:tblPr>
        <w:tblStyle w:val="9"/>
        <w:tblW w:w="9317" w:type="dxa"/>
        <w:tblInd w:w="-15" w:type="dxa"/>
        <w:tblLayout w:type="fixed"/>
        <w:tblCellMar>
          <w:top w:w="0" w:type="dxa"/>
          <w:left w:w="108" w:type="dxa"/>
          <w:bottom w:w="0" w:type="dxa"/>
          <w:right w:w="108" w:type="dxa"/>
        </w:tblCellMar>
      </w:tblPr>
      <w:tblGrid>
        <w:gridCol w:w="1200"/>
        <w:gridCol w:w="3352"/>
        <w:gridCol w:w="4765"/>
      </w:tblGrid>
      <w:tr>
        <w:tblPrEx>
          <w:tblCellMar>
            <w:top w:w="0" w:type="dxa"/>
            <w:left w:w="108" w:type="dxa"/>
            <w:bottom w:w="0" w:type="dxa"/>
            <w:right w:w="108" w:type="dxa"/>
          </w:tblCellMar>
        </w:tblPrEx>
        <w:tc>
          <w:tcPr>
            <w:tcW w:w="1200" w:type="dxa"/>
            <w:tcBorders>
              <w:top w:val="single" w:color="000000" w:sz="12" w:space="0"/>
              <w:left w:val="single" w:color="000000" w:sz="12" w:space="0"/>
              <w:bottom w:val="single" w:color="000000" w:sz="4" w:space="0"/>
              <w:right w:val="single" w:color="000000" w:sz="4" w:space="0"/>
            </w:tcBorders>
          </w:tcPr>
          <w:p>
            <w:pPr>
              <w:rPr>
                <w:sz w:val="24"/>
                <w:szCs w:val="24"/>
              </w:rPr>
            </w:pPr>
            <w:r>
              <w:rPr>
                <w:sz w:val="24"/>
                <w:szCs w:val="24"/>
              </w:rPr>
              <w:t>序号</w:t>
            </w:r>
          </w:p>
        </w:tc>
        <w:tc>
          <w:tcPr>
            <w:tcW w:w="3352" w:type="dxa"/>
            <w:tcBorders>
              <w:top w:val="single" w:color="000000" w:sz="12" w:space="0"/>
              <w:left w:val="single" w:color="000000" w:sz="4" w:space="0"/>
              <w:bottom w:val="single" w:color="000000" w:sz="4" w:space="0"/>
              <w:right w:val="single" w:color="000000" w:sz="4" w:space="0"/>
            </w:tcBorders>
          </w:tcPr>
          <w:p>
            <w:pPr>
              <w:rPr>
                <w:sz w:val="24"/>
                <w:szCs w:val="24"/>
              </w:rPr>
            </w:pPr>
            <w:r>
              <w:rPr>
                <w:sz w:val="24"/>
                <w:szCs w:val="24"/>
              </w:rPr>
              <w:t>课程开发内容</w:t>
            </w:r>
          </w:p>
        </w:tc>
        <w:tc>
          <w:tcPr>
            <w:tcW w:w="4765" w:type="dxa"/>
            <w:tcBorders>
              <w:top w:val="single" w:color="000000" w:sz="12" w:space="0"/>
              <w:left w:val="single" w:color="000000" w:sz="4" w:space="0"/>
              <w:bottom w:val="single" w:color="000000" w:sz="4" w:space="0"/>
              <w:right w:val="single" w:color="000000" w:sz="12" w:space="0"/>
            </w:tcBorders>
          </w:tcPr>
          <w:p>
            <w:pPr>
              <w:rPr>
                <w:sz w:val="24"/>
                <w:szCs w:val="24"/>
              </w:rPr>
            </w:pPr>
            <w:r>
              <w:rPr>
                <w:sz w:val="24"/>
                <w:szCs w:val="24"/>
              </w:rPr>
              <w:t>分工</w:t>
            </w:r>
          </w:p>
        </w:tc>
      </w:tr>
      <w:tr>
        <w:tblPrEx>
          <w:tblCellMar>
            <w:top w:w="0" w:type="dxa"/>
            <w:left w:w="108" w:type="dxa"/>
            <w:bottom w:w="0" w:type="dxa"/>
            <w:right w:w="108" w:type="dxa"/>
          </w:tblCellMar>
        </w:tblPrEx>
        <w:tc>
          <w:tcPr>
            <w:tcW w:w="1200" w:type="dxa"/>
            <w:tcBorders>
              <w:top w:val="single" w:color="000000" w:sz="4" w:space="0"/>
              <w:left w:val="single" w:color="000000" w:sz="12" w:space="0"/>
              <w:bottom w:val="single" w:color="000000" w:sz="4" w:space="0"/>
              <w:right w:val="single" w:color="000000" w:sz="4" w:space="0"/>
            </w:tcBorders>
          </w:tcPr>
          <w:p>
            <w:pPr>
              <w:jc w:val="center"/>
              <w:rPr>
                <w:sz w:val="24"/>
                <w:szCs w:val="24"/>
              </w:rPr>
            </w:pPr>
            <w:r>
              <w:rPr>
                <w:sz w:val="24"/>
                <w:szCs w:val="24"/>
              </w:rPr>
              <w:t>1</w:t>
            </w:r>
          </w:p>
        </w:tc>
        <w:tc>
          <w:tcPr>
            <w:tcW w:w="335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确定课程标准</w:t>
            </w:r>
          </w:p>
        </w:tc>
        <w:tc>
          <w:tcPr>
            <w:tcW w:w="4765" w:type="dxa"/>
            <w:tcBorders>
              <w:top w:val="single" w:color="000000" w:sz="4" w:space="0"/>
              <w:left w:val="single" w:color="000000" w:sz="4" w:space="0"/>
              <w:bottom w:val="single" w:color="000000" w:sz="4" w:space="0"/>
              <w:right w:val="single" w:color="000000" w:sz="12" w:space="0"/>
            </w:tcBorders>
          </w:tcPr>
          <w:p>
            <w:pPr>
              <w:rPr>
                <w:sz w:val="24"/>
                <w:szCs w:val="24"/>
              </w:rPr>
            </w:pPr>
            <w:r>
              <w:rPr>
                <w:sz w:val="24"/>
                <w:szCs w:val="24"/>
              </w:rPr>
              <w:t>学校</w:t>
            </w:r>
          </w:p>
        </w:tc>
      </w:tr>
      <w:tr>
        <w:tblPrEx>
          <w:tblCellMar>
            <w:top w:w="0" w:type="dxa"/>
            <w:left w:w="108" w:type="dxa"/>
            <w:bottom w:w="0" w:type="dxa"/>
            <w:right w:w="108" w:type="dxa"/>
          </w:tblCellMar>
        </w:tblPrEx>
        <w:tc>
          <w:tcPr>
            <w:tcW w:w="1200" w:type="dxa"/>
            <w:tcBorders>
              <w:top w:val="single" w:color="000000" w:sz="4" w:space="0"/>
              <w:left w:val="single" w:color="000000" w:sz="12" w:space="0"/>
              <w:bottom w:val="single" w:color="000000" w:sz="4" w:space="0"/>
              <w:right w:val="single" w:color="000000" w:sz="4" w:space="0"/>
            </w:tcBorders>
          </w:tcPr>
          <w:p>
            <w:pPr>
              <w:jc w:val="center"/>
              <w:rPr>
                <w:sz w:val="24"/>
                <w:szCs w:val="24"/>
              </w:rPr>
            </w:pPr>
            <w:r>
              <w:rPr>
                <w:sz w:val="24"/>
                <w:szCs w:val="24"/>
              </w:rPr>
              <w:t>2</w:t>
            </w:r>
          </w:p>
        </w:tc>
        <w:tc>
          <w:tcPr>
            <w:tcW w:w="335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完成课程教学设计</w:t>
            </w:r>
          </w:p>
        </w:tc>
        <w:tc>
          <w:tcPr>
            <w:tcW w:w="4765" w:type="dxa"/>
            <w:tcBorders>
              <w:top w:val="single" w:color="000000" w:sz="4" w:space="0"/>
              <w:left w:val="single" w:color="000000" w:sz="4" w:space="0"/>
              <w:bottom w:val="single" w:color="000000" w:sz="4" w:space="0"/>
              <w:right w:val="single" w:color="000000" w:sz="12" w:space="0"/>
            </w:tcBorders>
          </w:tcPr>
          <w:p>
            <w:pPr>
              <w:rPr>
                <w:sz w:val="24"/>
                <w:szCs w:val="24"/>
              </w:rPr>
            </w:pPr>
            <w:r>
              <w:rPr>
                <w:sz w:val="24"/>
                <w:szCs w:val="24"/>
              </w:rPr>
              <w:t>学校为主+企业为辅</w:t>
            </w:r>
          </w:p>
        </w:tc>
      </w:tr>
      <w:tr>
        <w:tblPrEx>
          <w:tblCellMar>
            <w:top w:w="0" w:type="dxa"/>
            <w:left w:w="108" w:type="dxa"/>
            <w:bottom w:w="0" w:type="dxa"/>
            <w:right w:w="108" w:type="dxa"/>
          </w:tblCellMar>
        </w:tblPrEx>
        <w:tc>
          <w:tcPr>
            <w:tcW w:w="1200" w:type="dxa"/>
            <w:tcBorders>
              <w:top w:val="single" w:color="000000" w:sz="4" w:space="0"/>
              <w:left w:val="single" w:color="000000" w:sz="12" w:space="0"/>
              <w:bottom w:val="single" w:color="000000" w:sz="4" w:space="0"/>
              <w:right w:val="single" w:color="000000" w:sz="4" w:space="0"/>
            </w:tcBorders>
          </w:tcPr>
          <w:p>
            <w:pPr>
              <w:jc w:val="center"/>
              <w:rPr>
                <w:sz w:val="24"/>
                <w:szCs w:val="24"/>
              </w:rPr>
            </w:pPr>
            <w:r>
              <w:rPr>
                <w:sz w:val="24"/>
                <w:szCs w:val="24"/>
              </w:rPr>
              <w:t>3</w:t>
            </w:r>
          </w:p>
        </w:tc>
        <w:tc>
          <w:tcPr>
            <w:tcW w:w="335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制定课程教学资源建设方案</w:t>
            </w:r>
          </w:p>
        </w:tc>
        <w:tc>
          <w:tcPr>
            <w:tcW w:w="4765" w:type="dxa"/>
            <w:tcBorders>
              <w:top w:val="single" w:color="000000" w:sz="4" w:space="0"/>
              <w:left w:val="single" w:color="000000" w:sz="4" w:space="0"/>
              <w:bottom w:val="single" w:color="000000" w:sz="4" w:space="0"/>
              <w:right w:val="single" w:color="000000" w:sz="12" w:space="0"/>
            </w:tcBorders>
          </w:tcPr>
          <w:p>
            <w:pPr>
              <w:rPr>
                <w:sz w:val="24"/>
                <w:szCs w:val="24"/>
              </w:rPr>
            </w:pPr>
            <w:r>
              <w:rPr>
                <w:sz w:val="24"/>
                <w:szCs w:val="24"/>
              </w:rPr>
              <w:t>学校为主+企业为辅</w:t>
            </w:r>
          </w:p>
        </w:tc>
      </w:tr>
      <w:tr>
        <w:tblPrEx>
          <w:tblCellMar>
            <w:top w:w="0" w:type="dxa"/>
            <w:left w:w="108" w:type="dxa"/>
            <w:bottom w:w="0" w:type="dxa"/>
            <w:right w:w="108" w:type="dxa"/>
          </w:tblCellMar>
        </w:tblPrEx>
        <w:tc>
          <w:tcPr>
            <w:tcW w:w="1200" w:type="dxa"/>
            <w:tcBorders>
              <w:top w:val="single" w:color="000000" w:sz="4" w:space="0"/>
              <w:left w:val="single" w:color="000000" w:sz="12" w:space="0"/>
              <w:bottom w:val="single" w:color="000000" w:sz="4" w:space="0"/>
              <w:right w:val="single" w:color="000000" w:sz="4" w:space="0"/>
            </w:tcBorders>
          </w:tcPr>
          <w:p>
            <w:pPr>
              <w:jc w:val="center"/>
              <w:rPr>
                <w:sz w:val="24"/>
                <w:szCs w:val="24"/>
              </w:rPr>
            </w:pPr>
            <w:r>
              <w:rPr>
                <w:sz w:val="24"/>
                <w:szCs w:val="24"/>
              </w:rPr>
              <w:t>4</w:t>
            </w:r>
          </w:p>
        </w:tc>
        <w:tc>
          <w:tcPr>
            <w:tcW w:w="335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资源建设脚本设计</w:t>
            </w:r>
          </w:p>
        </w:tc>
        <w:tc>
          <w:tcPr>
            <w:tcW w:w="4765" w:type="dxa"/>
            <w:tcBorders>
              <w:top w:val="single" w:color="000000" w:sz="4" w:space="0"/>
              <w:left w:val="single" w:color="000000" w:sz="4" w:space="0"/>
              <w:bottom w:val="single" w:color="000000" w:sz="4" w:space="0"/>
              <w:right w:val="single" w:color="000000" w:sz="12" w:space="0"/>
            </w:tcBorders>
          </w:tcPr>
          <w:p>
            <w:pPr>
              <w:rPr>
                <w:sz w:val="24"/>
                <w:szCs w:val="24"/>
              </w:rPr>
            </w:pPr>
            <w:r>
              <w:rPr>
                <w:sz w:val="24"/>
                <w:szCs w:val="24"/>
              </w:rPr>
              <w:t>学校为主+企业为辅</w:t>
            </w:r>
          </w:p>
        </w:tc>
      </w:tr>
      <w:tr>
        <w:tblPrEx>
          <w:tblCellMar>
            <w:top w:w="0" w:type="dxa"/>
            <w:left w:w="108" w:type="dxa"/>
            <w:bottom w:w="0" w:type="dxa"/>
            <w:right w:w="108" w:type="dxa"/>
          </w:tblCellMar>
        </w:tblPrEx>
        <w:tc>
          <w:tcPr>
            <w:tcW w:w="1200" w:type="dxa"/>
            <w:tcBorders>
              <w:top w:val="single" w:color="000000" w:sz="4" w:space="0"/>
              <w:left w:val="single" w:color="000000" w:sz="12" w:space="0"/>
              <w:bottom w:val="single" w:color="000000" w:sz="4" w:space="0"/>
              <w:right w:val="single" w:color="000000" w:sz="4" w:space="0"/>
            </w:tcBorders>
            <w:vAlign w:val="center"/>
          </w:tcPr>
          <w:p>
            <w:pPr>
              <w:jc w:val="center"/>
              <w:rPr>
                <w:sz w:val="24"/>
                <w:szCs w:val="24"/>
              </w:rPr>
            </w:pPr>
            <w:r>
              <w:rPr>
                <w:sz w:val="24"/>
                <w:szCs w:val="24"/>
              </w:rPr>
              <w:t>5</w:t>
            </w:r>
          </w:p>
        </w:tc>
        <w:tc>
          <w:tcPr>
            <w:tcW w:w="3352" w:type="dxa"/>
            <w:tcBorders>
              <w:top w:val="single" w:color="000000" w:sz="4" w:space="0"/>
              <w:left w:val="single" w:color="000000" w:sz="4" w:space="0"/>
              <w:bottom w:val="single" w:color="000000" w:sz="4" w:space="0"/>
              <w:right w:val="single" w:color="000000" w:sz="4" w:space="0"/>
            </w:tcBorders>
            <w:vAlign w:val="center"/>
          </w:tcPr>
          <w:p>
            <w:pPr>
              <w:rPr>
                <w:sz w:val="24"/>
                <w:szCs w:val="24"/>
              </w:rPr>
            </w:pPr>
            <w:r>
              <w:rPr>
                <w:sz w:val="24"/>
                <w:szCs w:val="24"/>
              </w:rPr>
              <w:t>素材采集与制作(文字图像音频视频动画)</w:t>
            </w:r>
          </w:p>
        </w:tc>
        <w:tc>
          <w:tcPr>
            <w:tcW w:w="4765"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学校+企业</w:t>
            </w:r>
          </w:p>
        </w:tc>
      </w:tr>
      <w:tr>
        <w:tblPrEx>
          <w:tblCellMar>
            <w:top w:w="0" w:type="dxa"/>
            <w:left w:w="108" w:type="dxa"/>
            <w:bottom w:w="0" w:type="dxa"/>
            <w:right w:w="108" w:type="dxa"/>
          </w:tblCellMar>
        </w:tblPrEx>
        <w:tc>
          <w:tcPr>
            <w:tcW w:w="1200" w:type="dxa"/>
            <w:tcBorders>
              <w:top w:val="single" w:color="000000" w:sz="4" w:space="0"/>
              <w:left w:val="single" w:color="000000" w:sz="12" w:space="0"/>
              <w:bottom w:val="single" w:color="000000" w:sz="4" w:space="0"/>
              <w:right w:val="single" w:color="000000" w:sz="4" w:space="0"/>
            </w:tcBorders>
          </w:tcPr>
          <w:p>
            <w:pPr>
              <w:jc w:val="center"/>
              <w:rPr>
                <w:sz w:val="24"/>
                <w:szCs w:val="24"/>
              </w:rPr>
            </w:pPr>
            <w:r>
              <w:rPr>
                <w:sz w:val="24"/>
                <w:szCs w:val="24"/>
              </w:rPr>
              <w:t>6</w:t>
            </w:r>
          </w:p>
        </w:tc>
        <w:tc>
          <w:tcPr>
            <w:tcW w:w="335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习题(试题)采集与开发</w:t>
            </w:r>
          </w:p>
        </w:tc>
        <w:tc>
          <w:tcPr>
            <w:tcW w:w="4765" w:type="dxa"/>
            <w:tcBorders>
              <w:top w:val="single" w:color="000000" w:sz="4" w:space="0"/>
              <w:left w:val="single" w:color="000000" w:sz="4" w:space="0"/>
              <w:bottom w:val="single" w:color="000000" w:sz="4" w:space="0"/>
              <w:right w:val="single" w:color="000000" w:sz="12" w:space="0"/>
            </w:tcBorders>
          </w:tcPr>
          <w:p>
            <w:pPr>
              <w:rPr>
                <w:sz w:val="24"/>
                <w:szCs w:val="24"/>
              </w:rPr>
            </w:pPr>
            <w:r>
              <w:rPr>
                <w:sz w:val="24"/>
                <w:szCs w:val="24"/>
              </w:rPr>
              <w:t>内容学校为主，表现企业为主</w:t>
            </w:r>
          </w:p>
        </w:tc>
      </w:tr>
      <w:tr>
        <w:tblPrEx>
          <w:tblCellMar>
            <w:top w:w="0" w:type="dxa"/>
            <w:left w:w="108" w:type="dxa"/>
            <w:bottom w:w="0" w:type="dxa"/>
            <w:right w:w="108" w:type="dxa"/>
          </w:tblCellMar>
        </w:tblPrEx>
        <w:tc>
          <w:tcPr>
            <w:tcW w:w="1200" w:type="dxa"/>
            <w:tcBorders>
              <w:top w:val="single" w:color="000000" w:sz="4" w:space="0"/>
              <w:left w:val="single" w:color="000000" w:sz="12" w:space="0"/>
              <w:bottom w:val="single" w:color="000000" w:sz="4" w:space="0"/>
              <w:right w:val="single" w:color="000000" w:sz="4" w:space="0"/>
            </w:tcBorders>
          </w:tcPr>
          <w:p>
            <w:pPr>
              <w:jc w:val="center"/>
              <w:rPr>
                <w:sz w:val="24"/>
                <w:szCs w:val="24"/>
              </w:rPr>
            </w:pPr>
            <w:r>
              <w:rPr>
                <w:sz w:val="24"/>
                <w:szCs w:val="24"/>
              </w:rPr>
              <w:t>7</w:t>
            </w:r>
          </w:p>
        </w:tc>
        <w:tc>
          <w:tcPr>
            <w:tcW w:w="335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制作课件(多媒体)</w:t>
            </w:r>
          </w:p>
        </w:tc>
        <w:tc>
          <w:tcPr>
            <w:tcW w:w="4765" w:type="dxa"/>
            <w:tcBorders>
              <w:top w:val="single" w:color="000000" w:sz="4" w:space="0"/>
              <w:left w:val="single" w:color="000000" w:sz="4" w:space="0"/>
              <w:bottom w:val="single" w:color="000000" w:sz="4" w:space="0"/>
              <w:right w:val="single" w:color="000000" w:sz="12" w:space="0"/>
            </w:tcBorders>
          </w:tcPr>
          <w:p>
            <w:pPr>
              <w:rPr>
                <w:sz w:val="24"/>
                <w:szCs w:val="24"/>
              </w:rPr>
            </w:pPr>
            <w:r>
              <w:rPr>
                <w:sz w:val="24"/>
                <w:szCs w:val="24"/>
              </w:rPr>
              <w:t>企业为主</w:t>
            </w:r>
          </w:p>
        </w:tc>
      </w:tr>
      <w:tr>
        <w:tblPrEx>
          <w:tblCellMar>
            <w:top w:w="0" w:type="dxa"/>
            <w:left w:w="108" w:type="dxa"/>
            <w:bottom w:w="0" w:type="dxa"/>
            <w:right w:w="108" w:type="dxa"/>
          </w:tblCellMar>
        </w:tblPrEx>
        <w:tc>
          <w:tcPr>
            <w:tcW w:w="1200" w:type="dxa"/>
            <w:tcBorders>
              <w:top w:val="single" w:color="000000" w:sz="4" w:space="0"/>
              <w:left w:val="single" w:color="000000" w:sz="12" w:space="0"/>
              <w:bottom w:val="single" w:color="000000" w:sz="12" w:space="0"/>
              <w:right w:val="single" w:color="000000" w:sz="4" w:space="0"/>
            </w:tcBorders>
          </w:tcPr>
          <w:p>
            <w:pPr>
              <w:jc w:val="center"/>
              <w:rPr>
                <w:sz w:val="24"/>
                <w:szCs w:val="24"/>
              </w:rPr>
            </w:pPr>
            <w:r>
              <w:rPr>
                <w:sz w:val="24"/>
                <w:szCs w:val="24"/>
              </w:rPr>
              <w:t>8</w:t>
            </w:r>
          </w:p>
        </w:tc>
        <w:tc>
          <w:tcPr>
            <w:tcW w:w="3352" w:type="dxa"/>
            <w:tcBorders>
              <w:top w:val="single" w:color="000000" w:sz="4" w:space="0"/>
              <w:left w:val="single" w:color="000000" w:sz="4" w:space="0"/>
              <w:bottom w:val="single" w:color="000000" w:sz="12" w:space="0"/>
              <w:right w:val="single" w:color="000000" w:sz="4" w:space="0"/>
            </w:tcBorders>
          </w:tcPr>
          <w:p>
            <w:pPr>
              <w:rPr>
                <w:sz w:val="24"/>
                <w:szCs w:val="24"/>
              </w:rPr>
            </w:pPr>
            <w:r>
              <w:rPr>
                <w:sz w:val="24"/>
                <w:szCs w:val="24"/>
              </w:rPr>
              <w:t>微课(含教学视频)集成与输出</w:t>
            </w:r>
          </w:p>
        </w:tc>
        <w:tc>
          <w:tcPr>
            <w:tcW w:w="4765" w:type="dxa"/>
            <w:tcBorders>
              <w:top w:val="single" w:color="000000" w:sz="4" w:space="0"/>
              <w:left w:val="single" w:color="000000" w:sz="4" w:space="0"/>
              <w:bottom w:val="single" w:color="000000" w:sz="12" w:space="0"/>
              <w:right w:val="single" w:color="000000" w:sz="12" w:space="0"/>
            </w:tcBorders>
          </w:tcPr>
          <w:p>
            <w:pPr>
              <w:rPr>
                <w:sz w:val="24"/>
                <w:szCs w:val="24"/>
              </w:rPr>
            </w:pPr>
            <w:r>
              <w:rPr>
                <w:sz w:val="24"/>
                <w:szCs w:val="24"/>
              </w:rPr>
              <w:t>企业为主</w:t>
            </w:r>
          </w:p>
        </w:tc>
      </w:tr>
    </w:tbl>
    <w:p>
      <w:pPr>
        <w:spacing w:line="360" w:lineRule="auto"/>
        <w:rPr>
          <w:rFonts w:ascii="仿宋_GB2312;仿宋" w:hAnsi="仿宋_GB2312;仿宋" w:eastAsia="仿宋_GB2312;仿宋" w:cs="仿宋"/>
          <w:szCs w:val="28"/>
        </w:rPr>
      </w:pPr>
    </w:p>
    <w:p>
      <w:pPr>
        <w:ind w:firstLine="560" w:firstLineChars="200"/>
      </w:pPr>
      <w:r>
        <w:t>6.3.4课程资源组成</w:t>
      </w:r>
    </w:p>
    <w:p>
      <w:pPr>
        <w:ind w:firstLine="560" w:firstLineChars="200"/>
      </w:pPr>
      <w:r>
        <w:t>课程资源由以精品微课为核心的数字化课程资源包组成。课程资源包包含电子图文、PPT、动画视频、练习素材、试题库、项目案例等丰富多样的资源素材，各类资源以单个知识点或案例为基本单元存放，使教师可自由、灵活、方便、快速地组合出各种个性化的教学套餐。</w:t>
      </w:r>
    </w:p>
    <w:p>
      <w:pPr>
        <w:spacing w:line="360" w:lineRule="auto"/>
        <w:rPr>
          <w:rFonts w:ascii="仿宋_GB2312;仿宋" w:hAnsi="仿宋_GB2312;仿宋" w:eastAsia="仿宋_GB2312;仿宋" w:cs="仿宋"/>
          <w:szCs w:val="28"/>
        </w:rPr>
      </w:pPr>
      <w:r>
        <w:drawing>
          <wp:inline distT="0" distB="0" distL="0" distR="0">
            <wp:extent cx="4930140" cy="2428875"/>
            <wp:effectExtent l="0" t="0" r="0" b="0"/>
            <wp:docPr id="28" name="图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10"/>
                    <pic:cNvPicPr>
                      <a:picLocks noChangeAspect="1" noChangeArrowheads="1"/>
                    </pic:cNvPicPr>
                  </pic:nvPicPr>
                  <pic:blipFill>
                    <a:blip r:embed="rId24"/>
                    <a:srcRect l="-15" t="-30" r="-15" b="-30"/>
                    <a:stretch>
                      <a:fillRect/>
                    </a:stretch>
                  </pic:blipFill>
                  <pic:spPr>
                    <a:xfrm>
                      <a:off x="0" y="0"/>
                      <a:ext cx="4930140" cy="2428875"/>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理论课程资源包结构</w:t>
      </w:r>
    </w:p>
    <w:p>
      <w:pPr>
        <w:ind w:firstLine="560" w:firstLineChars="200"/>
      </w:pPr>
      <w:r>
        <w:t>精品微课是数字化课程资源的核心，是一种新型的教学资源，在3-5分钟的时间内，完成一个知识点的讲解。具有生动形象、短小精悍的特点，不仅能较好地适应大脑的学习规律（如保持专注的时间长短），还具有灵活组合、易于传播等优点，不仅适用在线教育，也是课堂教学的重要资源，已成为数字化教学资源的核心构件，是专业课程建设的重要内容和亮点。</w:t>
      </w:r>
    </w:p>
    <w:p>
      <w:r>
        <w:t>微课虽“微”，也必须具备完整的教学结构，并且需要根据不同的知识点类型，选择最匹配的微课类型进行开发（如图），才能保证在短短数分钟内讲好一个知识点，因此其开发难度远远高于传统的数字化课件（如PPT、视频、动画等）。</w:t>
      </w:r>
    </w:p>
    <w:p>
      <w:pPr>
        <w:pStyle w:val="2"/>
      </w:pPr>
    </w:p>
    <w:p/>
    <w:p>
      <w:pPr>
        <w:pStyle w:val="2"/>
      </w:pPr>
    </w:p>
    <w:tbl>
      <w:tblPr>
        <w:tblStyle w:val="9"/>
        <w:tblW w:w="7084" w:type="dxa"/>
        <w:jc w:val="center"/>
        <w:tblLayout w:type="fixed"/>
        <w:tblCellMar>
          <w:top w:w="0" w:type="dxa"/>
          <w:left w:w="108" w:type="dxa"/>
          <w:bottom w:w="0" w:type="dxa"/>
          <w:right w:w="108" w:type="dxa"/>
        </w:tblCellMar>
      </w:tblPr>
      <w:tblGrid>
        <w:gridCol w:w="3085"/>
        <w:gridCol w:w="3999"/>
      </w:tblGrid>
      <w:tr>
        <w:tblPrEx>
          <w:tblCellMar>
            <w:top w:w="0" w:type="dxa"/>
            <w:left w:w="108" w:type="dxa"/>
            <w:bottom w:w="0" w:type="dxa"/>
            <w:right w:w="108" w:type="dxa"/>
          </w:tblCellMar>
        </w:tblPrEx>
        <w:trPr>
          <w:jc w:val="center"/>
        </w:trPr>
        <w:tc>
          <w:tcPr>
            <w:tcW w:w="3085" w:type="dxa"/>
            <w:tcBorders>
              <w:top w:val="single" w:color="000000" w:sz="12" w:space="0"/>
              <w:left w:val="single" w:color="000000" w:sz="12" w:space="0"/>
              <w:bottom w:val="single" w:color="000000" w:sz="12" w:space="0"/>
              <w:right w:val="single" w:color="000000" w:sz="4" w:space="0"/>
            </w:tcBorders>
            <w:vAlign w:val="center"/>
          </w:tcPr>
          <w:p>
            <w:pPr>
              <w:rPr>
                <w:sz w:val="24"/>
                <w:szCs w:val="24"/>
              </w:rPr>
            </w:pPr>
            <w:r>
              <w:rPr>
                <w:sz w:val="24"/>
                <w:szCs w:val="24"/>
              </w:rPr>
              <w:t>微课类型</w:t>
            </w:r>
          </w:p>
        </w:tc>
        <w:tc>
          <w:tcPr>
            <w:tcW w:w="3998" w:type="dxa"/>
            <w:tcBorders>
              <w:top w:val="single" w:color="000000" w:sz="12" w:space="0"/>
              <w:left w:val="single" w:color="000000" w:sz="4" w:space="0"/>
              <w:bottom w:val="single" w:color="000000" w:sz="12" w:space="0"/>
              <w:right w:val="single" w:color="000000" w:sz="12" w:space="0"/>
            </w:tcBorders>
            <w:vAlign w:val="center"/>
          </w:tcPr>
          <w:p>
            <w:pPr>
              <w:rPr>
                <w:sz w:val="24"/>
                <w:szCs w:val="24"/>
              </w:rPr>
            </w:pPr>
            <w:r>
              <w:rPr>
                <w:sz w:val="24"/>
                <w:szCs w:val="24"/>
              </w:rPr>
              <w:t>适用的知识点</w:t>
            </w:r>
          </w:p>
        </w:tc>
      </w:tr>
      <w:tr>
        <w:tblPrEx>
          <w:tblCellMar>
            <w:top w:w="0" w:type="dxa"/>
            <w:left w:w="108" w:type="dxa"/>
            <w:bottom w:w="0" w:type="dxa"/>
            <w:right w:w="108" w:type="dxa"/>
          </w:tblCellMar>
        </w:tblPrEx>
        <w:trPr>
          <w:jc w:val="center"/>
        </w:trPr>
        <w:tc>
          <w:tcPr>
            <w:tcW w:w="3085" w:type="dxa"/>
            <w:tcBorders>
              <w:top w:val="single" w:color="000000" w:sz="12" w:space="0"/>
              <w:left w:val="single" w:color="000000" w:sz="12" w:space="0"/>
              <w:bottom w:val="single" w:color="000000" w:sz="4" w:space="0"/>
              <w:right w:val="single" w:color="000000" w:sz="4" w:space="0"/>
            </w:tcBorders>
            <w:vAlign w:val="center"/>
          </w:tcPr>
          <w:p>
            <w:pPr>
              <w:rPr>
                <w:sz w:val="24"/>
                <w:szCs w:val="24"/>
              </w:rPr>
            </w:pPr>
            <w:r>
              <w:rPr>
                <w:sz w:val="24"/>
                <w:szCs w:val="24"/>
              </w:rPr>
              <w:t>广告型</w:t>
            </w:r>
          </w:p>
        </w:tc>
        <w:tc>
          <w:tcPr>
            <w:tcW w:w="3998" w:type="dxa"/>
            <w:tcBorders>
              <w:top w:val="single" w:color="000000" w:sz="12" w:space="0"/>
              <w:left w:val="single" w:color="000000" w:sz="4" w:space="0"/>
              <w:bottom w:val="single" w:color="000000" w:sz="4" w:space="0"/>
              <w:right w:val="single" w:color="000000" w:sz="12" w:space="0"/>
            </w:tcBorders>
            <w:vAlign w:val="center"/>
          </w:tcPr>
          <w:p>
            <w:pPr>
              <w:rPr>
                <w:sz w:val="24"/>
                <w:szCs w:val="24"/>
              </w:rPr>
            </w:pPr>
            <w:r>
              <w:rPr>
                <w:sz w:val="24"/>
                <w:szCs w:val="24"/>
              </w:rPr>
              <w:t>概述。</w:t>
            </w:r>
          </w:p>
        </w:tc>
      </w:tr>
      <w:tr>
        <w:tblPrEx>
          <w:tblCellMar>
            <w:top w:w="0" w:type="dxa"/>
            <w:left w:w="108" w:type="dxa"/>
            <w:bottom w:w="0" w:type="dxa"/>
            <w:right w:w="108" w:type="dxa"/>
          </w:tblCellMar>
        </w:tblPrEx>
        <w:trPr>
          <w:jc w:val="center"/>
        </w:trPr>
        <w:tc>
          <w:tcPr>
            <w:tcW w:w="3085"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sz w:val="24"/>
                <w:szCs w:val="24"/>
              </w:rPr>
              <w:t>动画、仿真</w:t>
            </w:r>
          </w:p>
        </w:tc>
        <w:tc>
          <w:tcPr>
            <w:tcW w:w="3998"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原理、方法。</w:t>
            </w:r>
          </w:p>
        </w:tc>
      </w:tr>
      <w:tr>
        <w:tblPrEx>
          <w:tblCellMar>
            <w:top w:w="0" w:type="dxa"/>
            <w:left w:w="108" w:type="dxa"/>
            <w:bottom w:w="0" w:type="dxa"/>
            <w:right w:w="108" w:type="dxa"/>
          </w:tblCellMar>
        </w:tblPrEx>
        <w:trPr>
          <w:jc w:val="center"/>
        </w:trPr>
        <w:tc>
          <w:tcPr>
            <w:tcW w:w="3085"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sz w:val="24"/>
                <w:szCs w:val="24"/>
              </w:rPr>
              <w:t>现场拍摄</w:t>
            </w:r>
          </w:p>
        </w:tc>
        <w:tc>
          <w:tcPr>
            <w:tcW w:w="3998"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技能操作。</w:t>
            </w:r>
          </w:p>
        </w:tc>
      </w:tr>
      <w:tr>
        <w:tblPrEx>
          <w:tblCellMar>
            <w:top w:w="0" w:type="dxa"/>
            <w:left w:w="108" w:type="dxa"/>
            <w:bottom w:w="0" w:type="dxa"/>
            <w:right w:w="108" w:type="dxa"/>
          </w:tblCellMar>
        </w:tblPrEx>
        <w:trPr>
          <w:jc w:val="center"/>
        </w:trPr>
        <w:tc>
          <w:tcPr>
            <w:tcW w:w="3085"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sz w:val="24"/>
                <w:szCs w:val="24"/>
              </w:rPr>
              <w:t>屏幕录制</w:t>
            </w:r>
          </w:p>
        </w:tc>
        <w:tc>
          <w:tcPr>
            <w:tcW w:w="3998"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软件应用。</w:t>
            </w:r>
          </w:p>
        </w:tc>
      </w:tr>
      <w:tr>
        <w:tblPrEx>
          <w:tblCellMar>
            <w:top w:w="0" w:type="dxa"/>
            <w:left w:w="108" w:type="dxa"/>
            <w:bottom w:w="0" w:type="dxa"/>
            <w:right w:w="108" w:type="dxa"/>
          </w:tblCellMar>
        </w:tblPrEx>
        <w:trPr>
          <w:jc w:val="center"/>
        </w:trPr>
        <w:tc>
          <w:tcPr>
            <w:tcW w:w="3085" w:type="dxa"/>
            <w:tcBorders>
              <w:top w:val="single" w:color="000000" w:sz="4" w:space="0"/>
              <w:left w:val="single" w:color="000000" w:sz="12" w:space="0"/>
              <w:bottom w:val="single" w:color="000000" w:sz="12" w:space="0"/>
              <w:right w:val="single" w:color="000000" w:sz="4" w:space="0"/>
            </w:tcBorders>
            <w:vAlign w:val="center"/>
          </w:tcPr>
          <w:p>
            <w:pPr>
              <w:rPr>
                <w:sz w:val="24"/>
                <w:szCs w:val="24"/>
              </w:rPr>
            </w:pPr>
            <w:r>
              <w:rPr>
                <w:sz w:val="24"/>
                <w:szCs w:val="24"/>
              </w:rPr>
              <w:t>PPT</w:t>
            </w:r>
          </w:p>
        </w:tc>
        <w:tc>
          <w:tcPr>
            <w:tcW w:w="3998" w:type="dxa"/>
            <w:tcBorders>
              <w:top w:val="single" w:color="000000" w:sz="4" w:space="0"/>
              <w:left w:val="single" w:color="000000" w:sz="4" w:space="0"/>
              <w:bottom w:val="single" w:color="000000" w:sz="12" w:space="0"/>
              <w:right w:val="single" w:color="000000" w:sz="12" w:space="0"/>
            </w:tcBorders>
            <w:vAlign w:val="center"/>
          </w:tcPr>
          <w:p>
            <w:pPr>
              <w:rPr>
                <w:sz w:val="24"/>
                <w:szCs w:val="24"/>
              </w:rPr>
            </w:pPr>
            <w:r>
              <w:rPr>
                <w:sz w:val="24"/>
                <w:szCs w:val="24"/>
              </w:rPr>
              <w:t>普通知识点。</w:t>
            </w:r>
          </w:p>
        </w:tc>
      </w:tr>
    </w:tbl>
    <w:p>
      <w:pPr>
        <w:ind w:firstLine="560" w:firstLineChars="200"/>
      </w:pPr>
      <w:r>
        <w:t>6.3.5专业课程</w:t>
      </w:r>
    </w:p>
    <w:tbl>
      <w:tblPr>
        <w:tblStyle w:val="9"/>
        <w:tblW w:w="9559" w:type="dxa"/>
        <w:tblInd w:w="-14" w:type="dxa"/>
        <w:tblLayout w:type="fixed"/>
        <w:tblCellMar>
          <w:top w:w="15" w:type="dxa"/>
          <w:left w:w="15" w:type="dxa"/>
          <w:bottom w:w="0" w:type="dxa"/>
          <w:right w:w="15" w:type="dxa"/>
        </w:tblCellMar>
      </w:tblPr>
      <w:tblGrid>
        <w:gridCol w:w="1003"/>
        <w:gridCol w:w="2459"/>
        <w:gridCol w:w="6097"/>
      </w:tblGrid>
      <w:tr>
        <w:tblPrEx>
          <w:tblCellMar>
            <w:top w:w="15" w:type="dxa"/>
            <w:left w:w="15" w:type="dxa"/>
            <w:bottom w:w="0" w:type="dxa"/>
            <w:right w:w="15" w:type="dxa"/>
          </w:tblCellMar>
        </w:tblPrEx>
        <w:trPr>
          <w:trHeight w:val="330" w:hRule="atLeast"/>
        </w:trPr>
        <w:tc>
          <w:tcPr>
            <w:tcW w:w="1003" w:type="dxa"/>
            <w:tcBorders>
              <w:top w:val="single" w:color="000000" w:sz="12" w:space="0"/>
              <w:left w:val="single" w:color="000000" w:sz="12" w:space="0"/>
              <w:bottom w:val="single" w:color="000000" w:sz="4" w:space="0"/>
              <w:right w:val="single" w:color="000000" w:sz="4" w:space="0"/>
            </w:tcBorders>
            <w:vAlign w:val="center"/>
          </w:tcPr>
          <w:p>
            <w:pPr>
              <w:rPr>
                <w:sz w:val="24"/>
                <w:szCs w:val="24"/>
              </w:rPr>
            </w:pPr>
            <w:r>
              <w:rPr>
                <w:sz w:val="24"/>
                <w:szCs w:val="24"/>
              </w:rPr>
              <w:t>序号</w:t>
            </w:r>
          </w:p>
        </w:tc>
        <w:tc>
          <w:tcPr>
            <w:tcW w:w="2459" w:type="dxa"/>
            <w:tcBorders>
              <w:top w:val="single" w:color="000000" w:sz="12" w:space="0"/>
              <w:left w:val="single" w:color="000000" w:sz="4" w:space="0"/>
              <w:bottom w:val="single" w:color="000000" w:sz="4" w:space="0"/>
              <w:right w:val="single" w:color="000000" w:sz="4" w:space="0"/>
            </w:tcBorders>
            <w:vAlign w:val="center"/>
          </w:tcPr>
          <w:p>
            <w:pPr>
              <w:rPr>
                <w:sz w:val="24"/>
                <w:szCs w:val="24"/>
              </w:rPr>
            </w:pPr>
            <w:r>
              <w:rPr>
                <w:sz w:val="24"/>
                <w:szCs w:val="24"/>
              </w:rPr>
              <w:t>分类</w:t>
            </w:r>
          </w:p>
        </w:tc>
        <w:tc>
          <w:tcPr>
            <w:tcW w:w="6097" w:type="dxa"/>
            <w:tcBorders>
              <w:top w:val="single" w:color="000000" w:sz="12" w:space="0"/>
              <w:left w:val="single" w:color="000000" w:sz="4" w:space="0"/>
              <w:bottom w:val="single" w:color="000000" w:sz="4" w:space="0"/>
              <w:right w:val="single" w:color="000000" w:sz="12" w:space="0"/>
            </w:tcBorders>
            <w:vAlign w:val="center"/>
          </w:tcPr>
          <w:p>
            <w:pPr>
              <w:rPr>
                <w:sz w:val="24"/>
                <w:szCs w:val="24"/>
              </w:rPr>
            </w:pPr>
            <w:r>
              <w:rPr>
                <w:sz w:val="24"/>
                <w:szCs w:val="24"/>
              </w:rPr>
              <w:t>课程名称</w:t>
            </w:r>
          </w:p>
        </w:tc>
      </w:tr>
      <w:tr>
        <w:tblPrEx>
          <w:tblCellMar>
            <w:top w:w="15" w:type="dxa"/>
            <w:left w:w="15" w:type="dxa"/>
            <w:bottom w:w="0" w:type="dxa"/>
            <w:right w:w="15" w:type="dxa"/>
          </w:tblCellMar>
        </w:tblPrEx>
        <w:trPr>
          <w:trHeight w:val="330" w:hRule="atLeast"/>
        </w:trPr>
        <w:tc>
          <w:tcPr>
            <w:tcW w:w="1003"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sz w:val="24"/>
                <w:szCs w:val="24"/>
              </w:rPr>
              <w:t>1</w:t>
            </w:r>
          </w:p>
        </w:tc>
        <w:tc>
          <w:tcPr>
            <w:tcW w:w="2459" w:type="dxa"/>
            <w:vMerge w:val="restart"/>
            <w:tcBorders>
              <w:top w:val="single" w:color="000000" w:sz="4" w:space="0"/>
              <w:left w:val="single" w:color="000000" w:sz="4" w:space="0"/>
              <w:bottom w:val="single" w:color="000000" w:sz="4" w:space="0"/>
              <w:right w:val="single" w:color="000000" w:sz="4" w:space="0"/>
            </w:tcBorders>
            <w:vAlign w:val="center"/>
          </w:tcPr>
          <w:p>
            <w:pPr>
              <w:rPr>
                <w:sz w:val="24"/>
                <w:szCs w:val="24"/>
              </w:rPr>
            </w:pPr>
            <w:r>
              <w:rPr>
                <w:rFonts w:hint="eastAsia"/>
                <w:sz w:val="24"/>
                <w:szCs w:val="24"/>
              </w:rPr>
              <w:t>机械制造</w:t>
            </w:r>
          </w:p>
        </w:tc>
        <w:tc>
          <w:tcPr>
            <w:tcW w:w="6097"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数控铣编程与机床操作</w:t>
            </w:r>
          </w:p>
        </w:tc>
      </w:tr>
      <w:tr>
        <w:tblPrEx>
          <w:tblCellMar>
            <w:top w:w="15" w:type="dxa"/>
            <w:left w:w="15" w:type="dxa"/>
            <w:bottom w:w="0" w:type="dxa"/>
            <w:right w:w="15" w:type="dxa"/>
          </w:tblCellMar>
        </w:tblPrEx>
        <w:trPr>
          <w:trHeight w:val="330" w:hRule="atLeast"/>
        </w:trPr>
        <w:tc>
          <w:tcPr>
            <w:tcW w:w="1003"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sz w:val="24"/>
                <w:szCs w:val="24"/>
              </w:rPr>
              <w:t>2</w:t>
            </w:r>
          </w:p>
        </w:tc>
        <w:tc>
          <w:tcPr>
            <w:tcW w:w="245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rPr>
                <w:sz w:val="24"/>
                <w:szCs w:val="24"/>
              </w:rPr>
            </w:pPr>
          </w:p>
        </w:tc>
        <w:tc>
          <w:tcPr>
            <w:tcW w:w="6097"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数控车编程与机床操作</w:t>
            </w:r>
          </w:p>
        </w:tc>
      </w:tr>
      <w:tr>
        <w:tblPrEx>
          <w:tblCellMar>
            <w:top w:w="15" w:type="dxa"/>
            <w:left w:w="15" w:type="dxa"/>
            <w:bottom w:w="0" w:type="dxa"/>
            <w:right w:w="15" w:type="dxa"/>
          </w:tblCellMar>
        </w:tblPrEx>
        <w:trPr>
          <w:trHeight w:val="330" w:hRule="atLeast"/>
        </w:trPr>
        <w:tc>
          <w:tcPr>
            <w:tcW w:w="1003"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sz w:val="24"/>
                <w:szCs w:val="24"/>
              </w:rPr>
              <w:t>3</w:t>
            </w:r>
          </w:p>
        </w:tc>
        <w:tc>
          <w:tcPr>
            <w:tcW w:w="245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rPr>
                <w:sz w:val="24"/>
                <w:szCs w:val="24"/>
              </w:rPr>
            </w:pPr>
          </w:p>
        </w:tc>
        <w:tc>
          <w:tcPr>
            <w:tcW w:w="6097"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多轴加工编程与机床操作</w:t>
            </w:r>
          </w:p>
        </w:tc>
      </w:tr>
      <w:tr>
        <w:tblPrEx>
          <w:tblCellMar>
            <w:top w:w="15" w:type="dxa"/>
            <w:left w:w="15" w:type="dxa"/>
            <w:bottom w:w="0" w:type="dxa"/>
            <w:right w:w="15" w:type="dxa"/>
          </w:tblCellMar>
        </w:tblPrEx>
        <w:trPr>
          <w:trHeight w:val="330" w:hRule="atLeast"/>
        </w:trPr>
        <w:tc>
          <w:tcPr>
            <w:tcW w:w="1003"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sz w:val="24"/>
                <w:szCs w:val="24"/>
              </w:rPr>
              <w:t>4</w:t>
            </w:r>
          </w:p>
        </w:tc>
        <w:tc>
          <w:tcPr>
            <w:tcW w:w="245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rPr>
                <w:sz w:val="24"/>
                <w:szCs w:val="24"/>
              </w:rPr>
            </w:pPr>
          </w:p>
        </w:tc>
        <w:tc>
          <w:tcPr>
            <w:tcW w:w="6097"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rFonts w:hint="eastAsia"/>
                <w:sz w:val="24"/>
                <w:szCs w:val="24"/>
              </w:rPr>
              <w:t>液压传动</w:t>
            </w:r>
          </w:p>
        </w:tc>
      </w:tr>
      <w:tr>
        <w:tblPrEx>
          <w:tblCellMar>
            <w:top w:w="15" w:type="dxa"/>
            <w:left w:w="15" w:type="dxa"/>
            <w:bottom w:w="0" w:type="dxa"/>
            <w:right w:w="15" w:type="dxa"/>
          </w:tblCellMar>
        </w:tblPrEx>
        <w:trPr>
          <w:trHeight w:val="330" w:hRule="atLeast"/>
        </w:trPr>
        <w:tc>
          <w:tcPr>
            <w:tcW w:w="1003"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sz w:val="24"/>
                <w:szCs w:val="24"/>
              </w:rPr>
              <w:t>5</w:t>
            </w:r>
          </w:p>
        </w:tc>
        <w:tc>
          <w:tcPr>
            <w:tcW w:w="245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rPr>
                <w:sz w:val="24"/>
                <w:szCs w:val="24"/>
              </w:rPr>
            </w:pPr>
          </w:p>
        </w:tc>
        <w:tc>
          <w:tcPr>
            <w:tcW w:w="6097"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rFonts w:hint="eastAsia"/>
                <w:sz w:val="24"/>
                <w:szCs w:val="24"/>
              </w:rPr>
              <w:t>模具拆装</w:t>
            </w:r>
          </w:p>
        </w:tc>
      </w:tr>
      <w:tr>
        <w:tblPrEx>
          <w:tblCellMar>
            <w:top w:w="15" w:type="dxa"/>
            <w:left w:w="15" w:type="dxa"/>
            <w:bottom w:w="0" w:type="dxa"/>
            <w:right w:w="15" w:type="dxa"/>
          </w:tblCellMar>
        </w:tblPrEx>
        <w:trPr>
          <w:trHeight w:val="330" w:hRule="atLeast"/>
        </w:trPr>
        <w:tc>
          <w:tcPr>
            <w:tcW w:w="1003"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rFonts w:hint="eastAsia"/>
                <w:sz w:val="24"/>
                <w:szCs w:val="24"/>
              </w:rPr>
              <w:t>6</w:t>
            </w:r>
          </w:p>
        </w:tc>
        <w:tc>
          <w:tcPr>
            <w:tcW w:w="2459" w:type="dxa"/>
            <w:vMerge w:val="restart"/>
            <w:tcBorders>
              <w:top w:val="single" w:color="000000" w:sz="4" w:space="0"/>
              <w:left w:val="single" w:color="000000" w:sz="4" w:space="0"/>
              <w:right w:val="single" w:color="000000" w:sz="4" w:space="0"/>
            </w:tcBorders>
            <w:vAlign w:val="center"/>
          </w:tcPr>
          <w:p>
            <w:pPr>
              <w:snapToGrid w:val="0"/>
              <w:rPr>
                <w:sz w:val="24"/>
                <w:szCs w:val="24"/>
              </w:rPr>
            </w:pPr>
            <w:r>
              <w:rPr>
                <w:rFonts w:hint="eastAsia"/>
                <w:sz w:val="24"/>
                <w:szCs w:val="24"/>
              </w:rPr>
              <w:t>交通运输</w:t>
            </w:r>
          </w:p>
        </w:tc>
        <w:tc>
          <w:tcPr>
            <w:tcW w:w="6097"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rFonts w:hint="eastAsia"/>
                <w:sz w:val="24"/>
                <w:szCs w:val="24"/>
              </w:rPr>
              <w:t>汽车发动机维修入门</w:t>
            </w:r>
          </w:p>
        </w:tc>
      </w:tr>
      <w:tr>
        <w:tblPrEx>
          <w:tblCellMar>
            <w:top w:w="15" w:type="dxa"/>
            <w:left w:w="15" w:type="dxa"/>
            <w:bottom w:w="0" w:type="dxa"/>
            <w:right w:w="15" w:type="dxa"/>
          </w:tblCellMar>
        </w:tblPrEx>
        <w:trPr>
          <w:trHeight w:val="330" w:hRule="atLeast"/>
        </w:trPr>
        <w:tc>
          <w:tcPr>
            <w:tcW w:w="1003"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rFonts w:hint="eastAsia"/>
                <w:sz w:val="24"/>
                <w:szCs w:val="24"/>
              </w:rPr>
              <w:t>7</w:t>
            </w:r>
          </w:p>
        </w:tc>
        <w:tc>
          <w:tcPr>
            <w:tcW w:w="2459" w:type="dxa"/>
            <w:vMerge w:val="continue"/>
            <w:tcBorders>
              <w:left w:val="single" w:color="000000" w:sz="4" w:space="0"/>
              <w:right w:val="single" w:color="000000" w:sz="4" w:space="0"/>
            </w:tcBorders>
            <w:vAlign w:val="center"/>
          </w:tcPr>
          <w:p>
            <w:pPr>
              <w:snapToGrid w:val="0"/>
              <w:rPr>
                <w:sz w:val="24"/>
                <w:szCs w:val="24"/>
              </w:rPr>
            </w:pPr>
          </w:p>
        </w:tc>
        <w:tc>
          <w:tcPr>
            <w:tcW w:w="6097"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rFonts w:hint="eastAsia"/>
                <w:sz w:val="24"/>
                <w:szCs w:val="24"/>
              </w:rPr>
              <w:t>汽车变速器维修入门</w:t>
            </w:r>
          </w:p>
        </w:tc>
      </w:tr>
      <w:tr>
        <w:tblPrEx>
          <w:tblCellMar>
            <w:top w:w="15" w:type="dxa"/>
            <w:left w:w="15" w:type="dxa"/>
            <w:bottom w:w="0" w:type="dxa"/>
            <w:right w:w="15" w:type="dxa"/>
          </w:tblCellMar>
        </w:tblPrEx>
        <w:trPr>
          <w:trHeight w:val="330" w:hRule="atLeast"/>
        </w:trPr>
        <w:tc>
          <w:tcPr>
            <w:tcW w:w="1003"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rFonts w:hint="eastAsia"/>
                <w:sz w:val="24"/>
                <w:szCs w:val="24"/>
              </w:rPr>
              <w:t>8</w:t>
            </w:r>
          </w:p>
        </w:tc>
        <w:tc>
          <w:tcPr>
            <w:tcW w:w="2459" w:type="dxa"/>
            <w:vMerge w:val="continue"/>
            <w:tcBorders>
              <w:left w:val="single" w:color="000000" w:sz="4" w:space="0"/>
              <w:right w:val="single" w:color="000000" w:sz="4" w:space="0"/>
            </w:tcBorders>
            <w:vAlign w:val="center"/>
          </w:tcPr>
          <w:p>
            <w:pPr>
              <w:snapToGrid w:val="0"/>
              <w:rPr>
                <w:sz w:val="24"/>
                <w:szCs w:val="24"/>
              </w:rPr>
            </w:pPr>
          </w:p>
        </w:tc>
        <w:tc>
          <w:tcPr>
            <w:tcW w:w="6097"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rFonts w:hint="eastAsia"/>
                <w:sz w:val="24"/>
                <w:szCs w:val="24"/>
              </w:rPr>
              <w:t>汽车喷涂技术</w:t>
            </w:r>
          </w:p>
        </w:tc>
      </w:tr>
      <w:tr>
        <w:tblPrEx>
          <w:tblCellMar>
            <w:top w:w="15" w:type="dxa"/>
            <w:left w:w="15" w:type="dxa"/>
            <w:bottom w:w="0" w:type="dxa"/>
            <w:right w:w="15" w:type="dxa"/>
          </w:tblCellMar>
        </w:tblPrEx>
        <w:trPr>
          <w:trHeight w:val="330" w:hRule="atLeast"/>
        </w:trPr>
        <w:tc>
          <w:tcPr>
            <w:tcW w:w="1003" w:type="dxa"/>
            <w:tcBorders>
              <w:top w:val="single" w:color="000000" w:sz="4" w:space="0"/>
              <w:left w:val="single" w:color="000000" w:sz="12" w:space="0"/>
              <w:bottom w:val="single" w:color="000000" w:sz="4" w:space="0"/>
              <w:right w:val="single" w:color="000000" w:sz="4" w:space="0"/>
            </w:tcBorders>
            <w:vAlign w:val="center"/>
          </w:tcPr>
          <w:p>
            <w:pPr>
              <w:rPr>
                <w:sz w:val="24"/>
                <w:szCs w:val="24"/>
              </w:rPr>
            </w:pPr>
            <w:r>
              <w:rPr>
                <w:rFonts w:hint="eastAsia"/>
                <w:sz w:val="24"/>
                <w:szCs w:val="24"/>
              </w:rPr>
              <w:t>9</w:t>
            </w:r>
          </w:p>
        </w:tc>
        <w:tc>
          <w:tcPr>
            <w:tcW w:w="2459" w:type="dxa"/>
            <w:vMerge w:val="continue"/>
            <w:tcBorders>
              <w:left w:val="single" w:color="000000" w:sz="4" w:space="0"/>
              <w:bottom w:val="single" w:color="000000" w:sz="4" w:space="0"/>
              <w:right w:val="single" w:color="000000" w:sz="4" w:space="0"/>
            </w:tcBorders>
            <w:vAlign w:val="center"/>
          </w:tcPr>
          <w:p>
            <w:pPr>
              <w:snapToGrid w:val="0"/>
              <w:rPr>
                <w:sz w:val="24"/>
                <w:szCs w:val="24"/>
              </w:rPr>
            </w:pPr>
          </w:p>
        </w:tc>
        <w:tc>
          <w:tcPr>
            <w:tcW w:w="6097"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rFonts w:hint="eastAsia"/>
                <w:sz w:val="24"/>
                <w:szCs w:val="24"/>
              </w:rPr>
              <w:t>新能源汽车维修入门</w:t>
            </w:r>
          </w:p>
        </w:tc>
      </w:tr>
    </w:tbl>
    <w:p>
      <w:pPr>
        <w:spacing w:line="360" w:lineRule="auto"/>
        <w:rPr>
          <w:rFonts w:ascii="仿宋_GB2312;仿宋" w:hAnsi="仿宋_GB2312;仿宋" w:eastAsia="仿宋_GB2312;仿宋" w:cs="仿宋"/>
          <w:szCs w:val="28"/>
        </w:rPr>
      </w:pPr>
    </w:p>
    <w:p>
      <w:pPr>
        <w:pStyle w:val="4"/>
        <w:ind w:firstLine="562" w:firstLineChars="200"/>
      </w:pPr>
      <w:bookmarkStart w:id="18" w:name="__RefHeading___Toc3961"/>
      <w:bookmarkEnd w:id="18"/>
      <w:r>
        <w:t>6.4专业群虚拟仿真软件库</w:t>
      </w:r>
    </w:p>
    <w:p>
      <w:pPr>
        <w:ind w:firstLine="560" w:firstLineChars="200"/>
      </w:pPr>
      <w:r>
        <w:t>6.4.1简述</w:t>
      </w:r>
    </w:p>
    <w:p>
      <w:pPr>
        <w:ind w:firstLine="560" w:firstLineChars="200"/>
      </w:pPr>
      <w:r>
        <w:t>以“好看、好玩、好用”的建设标准分别建设一批加工制造类专业虚拟仿真资源，用于各实训室教学工作正常开展。软件教学功能主要体现在“教练考”三方面，包括：1）项目教学：可选择不同的实训项目，进行所有步骤的示范教学，并同步伴随操作具备文字和语音说明。2）即学即练：与真实装备相同的操作训练，用手、眼图标指示下一步操作，伴随步骤说明、进度条控制、阶段选择等，演示和操作练习可以随时转换。3）智能考核：对学生的每一步操作的正确性、规范性、安全性进行自动记录、评估、计分，并输出和提交详细的考核记录单。作为理论与实践之间的桥梁，实现“理、虚、实”一体化教学，实现真实、维度、交互的升级，大幅度提升教学实训效果。</w:t>
      </w:r>
    </w:p>
    <w:p>
      <w:pPr>
        <w:spacing w:line="360" w:lineRule="auto"/>
        <w:rPr>
          <w:rFonts w:ascii="仿宋_GB2312;仿宋" w:hAnsi="仿宋_GB2312;仿宋" w:eastAsia="仿宋_GB2312;仿宋" w:cs="仿宋"/>
          <w:szCs w:val="28"/>
        </w:rPr>
      </w:pPr>
      <w:r>
        <w:drawing>
          <wp:inline distT="0" distB="0" distL="0" distR="0">
            <wp:extent cx="4297680" cy="2645410"/>
            <wp:effectExtent l="0" t="0" r="0" b="0"/>
            <wp:docPr id="29" name="图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像11"/>
                    <pic:cNvPicPr>
                      <a:picLocks noChangeAspect="1" noChangeArrowheads="1"/>
                    </pic:cNvPicPr>
                  </pic:nvPicPr>
                  <pic:blipFill>
                    <a:blip r:embed="rId25"/>
                    <a:srcRect l="-9" t="-14" r="-9" b="-14"/>
                    <a:stretch>
                      <a:fillRect/>
                    </a:stretch>
                  </pic:blipFill>
                  <pic:spPr>
                    <a:xfrm>
                      <a:off x="0" y="0"/>
                      <a:ext cx="4297680" cy="2645410"/>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软件效果示例</w:t>
      </w:r>
    </w:p>
    <w:p>
      <w:pPr>
        <w:ind w:firstLine="560" w:firstLineChars="200"/>
      </w:pPr>
      <w:r>
        <w:t>6.4.2加工制造系列虚拟仿真</w:t>
      </w:r>
    </w:p>
    <w:tbl>
      <w:tblPr>
        <w:tblStyle w:val="9"/>
        <w:tblW w:w="9320" w:type="dxa"/>
        <w:tblInd w:w="-15" w:type="dxa"/>
        <w:tblLayout w:type="fixed"/>
        <w:tblCellMar>
          <w:top w:w="0" w:type="dxa"/>
          <w:left w:w="108" w:type="dxa"/>
          <w:bottom w:w="0" w:type="dxa"/>
          <w:right w:w="108" w:type="dxa"/>
        </w:tblCellMar>
      </w:tblPr>
      <w:tblGrid>
        <w:gridCol w:w="1120"/>
        <w:gridCol w:w="3158"/>
        <w:gridCol w:w="5042"/>
      </w:tblGrid>
      <w:tr>
        <w:tblPrEx>
          <w:tblCellMar>
            <w:top w:w="0" w:type="dxa"/>
            <w:left w:w="108" w:type="dxa"/>
            <w:bottom w:w="0" w:type="dxa"/>
            <w:right w:w="108" w:type="dxa"/>
          </w:tblCellMar>
        </w:tblPrEx>
        <w:tc>
          <w:tcPr>
            <w:tcW w:w="1120" w:type="dxa"/>
            <w:tcBorders>
              <w:top w:val="single" w:color="000000" w:sz="12" w:space="0"/>
              <w:left w:val="single" w:color="000000" w:sz="12" w:space="0"/>
              <w:bottom w:val="single" w:color="000000" w:sz="4" w:space="0"/>
              <w:right w:val="single" w:color="000000" w:sz="4" w:space="0"/>
            </w:tcBorders>
          </w:tcPr>
          <w:p>
            <w:pPr>
              <w:rPr>
                <w:sz w:val="24"/>
                <w:szCs w:val="24"/>
              </w:rPr>
            </w:pPr>
            <w:r>
              <w:rPr>
                <w:sz w:val="24"/>
                <w:szCs w:val="24"/>
              </w:rPr>
              <w:t>序号</w:t>
            </w:r>
          </w:p>
        </w:tc>
        <w:tc>
          <w:tcPr>
            <w:tcW w:w="3158" w:type="dxa"/>
            <w:tcBorders>
              <w:top w:val="single" w:color="000000" w:sz="12" w:space="0"/>
              <w:left w:val="single" w:color="000000" w:sz="4" w:space="0"/>
              <w:bottom w:val="single" w:color="000000" w:sz="4" w:space="0"/>
              <w:right w:val="single" w:color="000000" w:sz="4" w:space="0"/>
            </w:tcBorders>
          </w:tcPr>
          <w:p>
            <w:pPr>
              <w:rPr>
                <w:sz w:val="24"/>
                <w:szCs w:val="24"/>
              </w:rPr>
            </w:pPr>
            <w:r>
              <w:rPr>
                <w:sz w:val="24"/>
                <w:szCs w:val="24"/>
              </w:rPr>
              <w:t>名称</w:t>
            </w:r>
          </w:p>
        </w:tc>
        <w:tc>
          <w:tcPr>
            <w:tcW w:w="5042" w:type="dxa"/>
            <w:tcBorders>
              <w:top w:val="single" w:color="000000" w:sz="12" w:space="0"/>
              <w:left w:val="single" w:color="000000" w:sz="4" w:space="0"/>
              <w:bottom w:val="single" w:color="000000" w:sz="4" w:space="0"/>
              <w:right w:val="single" w:color="000000" w:sz="12" w:space="0"/>
            </w:tcBorders>
          </w:tcPr>
          <w:p>
            <w:pPr>
              <w:rPr>
                <w:sz w:val="24"/>
                <w:szCs w:val="24"/>
              </w:rPr>
            </w:pPr>
            <w:r>
              <w:rPr>
                <w:sz w:val="24"/>
                <w:szCs w:val="24"/>
              </w:rPr>
              <w:t>实训内容</w:t>
            </w:r>
          </w:p>
        </w:tc>
      </w:tr>
      <w:tr>
        <w:tblPrEx>
          <w:tblCellMar>
            <w:top w:w="0" w:type="dxa"/>
            <w:left w:w="108" w:type="dxa"/>
            <w:bottom w:w="0" w:type="dxa"/>
            <w:right w:w="108" w:type="dxa"/>
          </w:tblCellMar>
        </w:tblPrEx>
        <w:tc>
          <w:tcPr>
            <w:tcW w:w="1120" w:type="dxa"/>
            <w:tcBorders>
              <w:top w:val="single" w:color="000000" w:sz="4" w:space="0"/>
              <w:left w:val="single" w:color="000000" w:sz="12" w:space="0"/>
              <w:bottom w:val="single" w:color="000000" w:sz="4" w:space="0"/>
              <w:right w:val="single" w:color="000000" w:sz="4" w:space="0"/>
            </w:tcBorders>
            <w:vAlign w:val="center"/>
          </w:tcPr>
          <w:p>
            <w:pPr>
              <w:jc w:val="center"/>
              <w:rPr>
                <w:sz w:val="24"/>
                <w:szCs w:val="24"/>
              </w:rPr>
            </w:pPr>
            <w:r>
              <w:rPr>
                <w:sz w:val="24"/>
                <w:szCs w:val="24"/>
              </w:rPr>
              <w:t>1</w:t>
            </w:r>
          </w:p>
        </w:tc>
        <w:tc>
          <w:tcPr>
            <w:tcW w:w="3158" w:type="dxa"/>
            <w:tcBorders>
              <w:top w:val="single" w:color="000000" w:sz="4" w:space="0"/>
              <w:left w:val="single" w:color="000000" w:sz="4" w:space="0"/>
              <w:bottom w:val="single" w:color="000000" w:sz="4" w:space="0"/>
              <w:right w:val="single" w:color="000000" w:sz="4" w:space="0"/>
            </w:tcBorders>
            <w:vAlign w:val="center"/>
          </w:tcPr>
          <w:p>
            <w:pPr>
              <w:rPr>
                <w:sz w:val="24"/>
                <w:szCs w:val="24"/>
              </w:rPr>
            </w:pPr>
            <w:r>
              <w:rPr>
                <w:sz w:val="24"/>
                <w:szCs w:val="24"/>
              </w:rPr>
              <w:t>虚拟普通车床自由加工</w:t>
            </w:r>
          </w:p>
        </w:tc>
        <w:tc>
          <w:tcPr>
            <w:tcW w:w="5042"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软件设置包含刀具操作、毛坯操作、基本操作、错误提示以及自由切削等部分。能够承担各种虚拟车削工作，如车削内外圆柱面、圆锥面及其它旋转面、端面及各种常用的螺纹切削，钻孔，还能进行拉削油槽、键槽等工作，同时还可以学习虚拟车床结构认知等机床传动过程。</w:t>
            </w:r>
          </w:p>
        </w:tc>
      </w:tr>
      <w:tr>
        <w:tblPrEx>
          <w:tblCellMar>
            <w:top w:w="0" w:type="dxa"/>
            <w:left w:w="108" w:type="dxa"/>
            <w:bottom w:w="0" w:type="dxa"/>
            <w:right w:w="108" w:type="dxa"/>
          </w:tblCellMar>
        </w:tblPrEx>
        <w:tc>
          <w:tcPr>
            <w:tcW w:w="1120" w:type="dxa"/>
            <w:tcBorders>
              <w:top w:val="single" w:color="000000" w:sz="4" w:space="0"/>
              <w:left w:val="single" w:color="000000" w:sz="12" w:space="0"/>
              <w:bottom w:val="single" w:color="000000" w:sz="4" w:space="0"/>
              <w:right w:val="single" w:color="000000" w:sz="4" w:space="0"/>
            </w:tcBorders>
            <w:vAlign w:val="center"/>
          </w:tcPr>
          <w:p>
            <w:pPr>
              <w:jc w:val="center"/>
              <w:rPr>
                <w:sz w:val="24"/>
                <w:szCs w:val="24"/>
              </w:rPr>
            </w:pPr>
            <w:r>
              <w:rPr>
                <w:sz w:val="24"/>
                <w:szCs w:val="24"/>
              </w:rPr>
              <w:t>2</w:t>
            </w:r>
          </w:p>
        </w:tc>
        <w:tc>
          <w:tcPr>
            <w:tcW w:w="3158" w:type="dxa"/>
            <w:tcBorders>
              <w:top w:val="single" w:color="000000" w:sz="4" w:space="0"/>
              <w:left w:val="single" w:color="000000" w:sz="4" w:space="0"/>
              <w:bottom w:val="single" w:color="000000" w:sz="4" w:space="0"/>
              <w:right w:val="single" w:color="000000" w:sz="4" w:space="0"/>
            </w:tcBorders>
            <w:vAlign w:val="center"/>
          </w:tcPr>
          <w:p>
            <w:pPr>
              <w:rPr>
                <w:sz w:val="24"/>
                <w:szCs w:val="24"/>
              </w:rPr>
            </w:pPr>
            <w:r>
              <w:rPr>
                <w:sz w:val="24"/>
                <w:szCs w:val="24"/>
              </w:rPr>
              <w:t>虚拟普通车床装调与维修（机械）</w:t>
            </w:r>
          </w:p>
        </w:tc>
        <w:tc>
          <w:tcPr>
            <w:tcW w:w="5042"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从以下四个方面进行详细介绍：一、机床安装调试（包括机床的拆箱，机床的吊装，机床的十八项检测等）；二、机床拆装（包括主轴箱拆卸，主轴箱分拆，主轴箱分装，主轴箱安装，溜板箱拆卸，溜板箱分拆，溜板箱分装，溜板箱安装，进给箱拆卸，进给箱分拆，进给箱分装，进给箱安装，刀架拆卸，尾台拆卸，尾台安装）；三、机床常见故障检测维修（包括溜板箱行进力度不均匀，小手轮空轮量过大，机床无自动进给）；四、机床日常保养（包括机床日常润滑保养点，使用禁忌）。</w:t>
            </w:r>
          </w:p>
        </w:tc>
      </w:tr>
      <w:tr>
        <w:tblPrEx>
          <w:tblCellMar>
            <w:top w:w="0" w:type="dxa"/>
            <w:left w:w="108" w:type="dxa"/>
            <w:bottom w:w="0" w:type="dxa"/>
            <w:right w:w="108" w:type="dxa"/>
          </w:tblCellMar>
        </w:tblPrEx>
        <w:tc>
          <w:tcPr>
            <w:tcW w:w="1120" w:type="dxa"/>
            <w:tcBorders>
              <w:top w:val="single" w:color="000000" w:sz="4" w:space="0"/>
              <w:left w:val="single" w:color="000000" w:sz="12" w:space="0"/>
              <w:bottom w:val="single" w:color="000000" w:sz="4" w:space="0"/>
              <w:right w:val="single" w:color="000000" w:sz="4" w:space="0"/>
            </w:tcBorders>
            <w:vAlign w:val="center"/>
          </w:tcPr>
          <w:p>
            <w:pPr>
              <w:jc w:val="center"/>
              <w:rPr>
                <w:sz w:val="24"/>
                <w:szCs w:val="24"/>
              </w:rPr>
            </w:pPr>
            <w:r>
              <w:rPr>
                <w:sz w:val="24"/>
                <w:szCs w:val="24"/>
              </w:rPr>
              <w:t>3</w:t>
            </w:r>
          </w:p>
        </w:tc>
        <w:tc>
          <w:tcPr>
            <w:tcW w:w="3158" w:type="dxa"/>
            <w:tcBorders>
              <w:top w:val="single" w:color="000000" w:sz="4" w:space="0"/>
              <w:left w:val="single" w:color="000000" w:sz="4" w:space="0"/>
              <w:bottom w:val="single" w:color="000000" w:sz="4" w:space="0"/>
              <w:right w:val="single" w:color="000000" w:sz="4" w:space="0"/>
            </w:tcBorders>
            <w:vAlign w:val="center"/>
          </w:tcPr>
          <w:p>
            <w:pPr>
              <w:rPr>
                <w:sz w:val="24"/>
                <w:szCs w:val="24"/>
              </w:rPr>
            </w:pPr>
            <w:r>
              <w:rPr>
                <w:sz w:val="24"/>
                <w:szCs w:val="24"/>
              </w:rPr>
              <w:t>虚拟普通车床装调与维修（电气）</w:t>
            </w:r>
          </w:p>
        </w:tc>
        <w:tc>
          <w:tcPr>
            <w:tcW w:w="5042"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软件主要设置CA6140车床电气控制线路识读(主电路，控制电路，照明电路，信号电路的识读)以及CA6140车床电气控制线路检修(主电路，控制电路，照明电路，信号电路的检修)等几方面实训内容。</w:t>
            </w:r>
          </w:p>
        </w:tc>
      </w:tr>
      <w:tr>
        <w:tblPrEx>
          <w:tblCellMar>
            <w:top w:w="0" w:type="dxa"/>
            <w:left w:w="108" w:type="dxa"/>
            <w:bottom w:w="0" w:type="dxa"/>
            <w:right w:w="108" w:type="dxa"/>
          </w:tblCellMar>
        </w:tblPrEx>
        <w:tc>
          <w:tcPr>
            <w:tcW w:w="1120" w:type="dxa"/>
            <w:tcBorders>
              <w:top w:val="single" w:color="000000" w:sz="4" w:space="0"/>
              <w:left w:val="single" w:color="000000" w:sz="12" w:space="0"/>
              <w:bottom w:val="single" w:color="000000" w:sz="4" w:space="0"/>
              <w:right w:val="single" w:color="000000" w:sz="4" w:space="0"/>
            </w:tcBorders>
            <w:vAlign w:val="center"/>
          </w:tcPr>
          <w:p>
            <w:pPr>
              <w:jc w:val="center"/>
              <w:rPr>
                <w:sz w:val="24"/>
                <w:szCs w:val="24"/>
              </w:rPr>
            </w:pPr>
            <w:r>
              <w:rPr>
                <w:sz w:val="24"/>
                <w:szCs w:val="24"/>
              </w:rPr>
              <w:t>4</w:t>
            </w:r>
          </w:p>
        </w:tc>
        <w:tc>
          <w:tcPr>
            <w:tcW w:w="3158" w:type="dxa"/>
            <w:tcBorders>
              <w:top w:val="single" w:color="000000" w:sz="4" w:space="0"/>
              <w:left w:val="single" w:color="000000" w:sz="4" w:space="0"/>
              <w:bottom w:val="single" w:color="000000" w:sz="4" w:space="0"/>
              <w:right w:val="single" w:color="000000" w:sz="4" w:space="0"/>
            </w:tcBorders>
            <w:vAlign w:val="center"/>
          </w:tcPr>
          <w:p>
            <w:pPr>
              <w:rPr>
                <w:sz w:val="24"/>
                <w:szCs w:val="24"/>
              </w:rPr>
            </w:pPr>
            <w:r>
              <w:rPr>
                <w:sz w:val="24"/>
                <w:szCs w:val="24"/>
              </w:rPr>
              <w:t>虚拟普通铣床案例和自由加工（X53K）</w:t>
            </w:r>
          </w:p>
        </w:tc>
        <w:tc>
          <w:tcPr>
            <w:tcW w:w="5042"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软件设置以下实训内容：一、普通铣床基本操作及简单加工（包括电器操作按钮及开关介绍，机械操纵手轮、手柄演示）；二、普通铣床精度检测（包括主轴定心轴颈的径向跳动检测，主轴轴肩支承面的跳动检测，主轴轴向窜动检测，主轴锥孔轴线的径向跳动检测，主轴轴线对工作台面的垂直度检测等）；三、自由加工模式；四、错误提示；五、自由切削。</w:t>
            </w:r>
          </w:p>
        </w:tc>
      </w:tr>
      <w:tr>
        <w:tblPrEx>
          <w:tblCellMar>
            <w:top w:w="0" w:type="dxa"/>
            <w:left w:w="108" w:type="dxa"/>
            <w:bottom w:w="0" w:type="dxa"/>
            <w:right w:w="108" w:type="dxa"/>
          </w:tblCellMar>
        </w:tblPrEx>
        <w:tc>
          <w:tcPr>
            <w:tcW w:w="1120" w:type="dxa"/>
            <w:tcBorders>
              <w:top w:val="single" w:color="000000" w:sz="4" w:space="0"/>
              <w:left w:val="single" w:color="000000" w:sz="12" w:space="0"/>
              <w:bottom w:val="single" w:color="000000" w:sz="4" w:space="0"/>
              <w:right w:val="single" w:color="000000" w:sz="4" w:space="0"/>
            </w:tcBorders>
            <w:vAlign w:val="center"/>
          </w:tcPr>
          <w:p>
            <w:pPr>
              <w:jc w:val="center"/>
              <w:rPr>
                <w:sz w:val="24"/>
                <w:szCs w:val="24"/>
              </w:rPr>
            </w:pPr>
            <w:r>
              <w:rPr>
                <w:rFonts w:hint="eastAsia"/>
                <w:sz w:val="24"/>
                <w:szCs w:val="24"/>
              </w:rPr>
              <w:t>5</w:t>
            </w:r>
          </w:p>
        </w:tc>
        <w:tc>
          <w:tcPr>
            <w:tcW w:w="3158" w:type="dxa"/>
            <w:tcBorders>
              <w:top w:val="single" w:color="000000" w:sz="4" w:space="0"/>
              <w:left w:val="single" w:color="000000" w:sz="4" w:space="0"/>
              <w:bottom w:val="single" w:color="000000" w:sz="4" w:space="0"/>
              <w:right w:val="single" w:color="000000" w:sz="4" w:space="0"/>
            </w:tcBorders>
            <w:vAlign w:val="center"/>
          </w:tcPr>
          <w:p>
            <w:pPr>
              <w:rPr>
                <w:sz w:val="24"/>
                <w:szCs w:val="24"/>
              </w:rPr>
            </w:pPr>
            <w:r>
              <w:rPr>
                <w:sz w:val="24"/>
                <w:szCs w:val="24"/>
              </w:rPr>
              <w:t>虚拟数控车床加工</w:t>
            </w:r>
          </w:p>
        </w:tc>
        <w:tc>
          <w:tcPr>
            <w:tcW w:w="5042"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软件主要从台阶轴加工、轴类零件加工、轴套加工、螺纹与槽加工、综合零件加工五个方面进行介绍。</w:t>
            </w:r>
          </w:p>
        </w:tc>
      </w:tr>
      <w:tr>
        <w:tblPrEx>
          <w:tblCellMar>
            <w:top w:w="0" w:type="dxa"/>
            <w:left w:w="108" w:type="dxa"/>
            <w:bottom w:w="0" w:type="dxa"/>
            <w:right w:w="108" w:type="dxa"/>
          </w:tblCellMar>
        </w:tblPrEx>
        <w:tc>
          <w:tcPr>
            <w:tcW w:w="1120" w:type="dxa"/>
            <w:tcBorders>
              <w:top w:val="single" w:color="000000" w:sz="4" w:space="0"/>
              <w:left w:val="single" w:color="000000" w:sz="12" w:space="0"/>
              <w:bottom w:val="single" w:color="000000" w:sz="4" w:space="0"/>
              <w:right w:val="single" w:color="000000" w:sz="4" w:space="0"/>
            </w:tcBorders>
            <w:vAlign w:val="center"/>
          </w:tcPr>
          <w:p>
            <w:pPr>
              <w:jc w:val="center"/>
              <w:rPr>
                <w:sz w:val="24"/>
                <w:szCs w:val="24"/>
              </w:rPr>
            </w:pPr>
            <w:r>
              <w:rPr>
                <w:rFonts w:hint="eastAsia"/>
                <w:sz w:val="24"/>
                <w:szCs w:val="24"/>
              </w:rPr>
              <w:t>6</w:t>
            </w:r>
          </w:p>
        </w:tc>
        <w:tc>
          <w:tcPr>
            <w:tcW w:w="3158" w:type="dxa"/>
            <w:tcBorders>
              <w:top w:val="single" w:color="000000" w:sz="4" w:space="0"/>
              <w:left w:val="single" w:color="000000" w:sz="4" w:space="0"/>
              <w:bottom w:val="single" w:color="000000" w:sz="4" w:space="0"/>
              <w:right w:val="single" w:color="000000" w:sz="4" w:space="0"/>
            </w:tcBorders>
            <w:vAlign w:val="center"/>
          </w:tcPr>
          <w:p>
            <w:pPr>
              <w:rPr>
                <w:sz w:val="24"/>
                <w:szCs w:val="24"/>
              </w:rPr>
            </w:pPr>
            <w:r>
              <w:rPr>
                <w:sz w:val="24"/>
                <w:szCs w:val="24"/>
              </w:rPr>
              <w:t>虚拟数控车床装调检测虚拟仿真实训系统(ZTXC15)</w:t>
            </w:r>
          </w:p>
        </w:tc>
        <w:tc>
          <w:tcPr>
            <w:tcW w:w="5042"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软件主要设置以下三部分实训内容：数控车床拆卸实训、数控车床安装实训、数控车床电器实训。</w:t>
            </w:r>
          </w:p>
        </w:tc>
      </w:tr>
      <w:tr>
        <w:tblPrEx>
          <w:tblCellMar>
            <w:top w:w="0" w:type="dxa"/>
            <w:left w:w="108" w:type="dxa"/>
            <w:bottom w:w="0" w:type="dxa"/>
            <w:right w:w="108" w:type="dxa"/>
          </w:tblCellMar>
        </w:tblPrEx>
        <w:tc>
          <w:tcPr>
            <w:tcW w:w="1120" w:type="dxa"/>
            <w:tcBorders>
              <w:top w:val="single" w:color="000000" w:sz="4" w:space="0"/>
              <w:left w:val="single" w:color="000000" w:sz="12" w:space="0"/>
              <w:bottom w:val="single" w:color="000000" w:sz="4" w:space="0"/>
              <w:right w:val="single" w:color="000000" w:sz="4" w:space="0"/>
            </w:tcBorders>
            <w:vAlign w:val="center"/>
          </w:tcPr>
          <w:p>
            <w:pPr>
              <w:jc w:val="center"/>
              <w:rPr>
                <w:sz w:val="24"/>
                <w:szCs w:val="24"/>
              </w:rPr>
            </w:pPr>
            <w:r>
              <w:rPr>
                <w:rFonts w:hint="eastAsia"/>
                <w:sz w:val="24"/>
                <w:szCs w:val="24"/>
              </w:rPr>
              <w:t>7</w:t>
            </w:r>
          </w:p>
        </w:tc>
        <w:tc>
          <w:tcPr>
            <w:tcW w:w="3158" w:type="dxa"/>
            <w:tcBorders>
              <w:top w:val="single" w:color="000000" w:sz="4" w:space="0"/>
              <w:left w:val="single" w:color="000000" w:sz="4" w:space="0"/>
              <w:bottom w:val="single" w:color="000000" w:sz="4" w:space="0"/>
              <w:right w:val="single" w:color="000000" w:sz="4" w:space="0"/>
            </w:tcBorders>
            <w:vAlign w:val="center"/>
          </w:tcPr>
          <w:p>
            <w:pPr>
              <w:rPr>
                <w:sz w:val="24"/>
                <w:szCs w:val="24"/>
              </w:rPr>
            </w:pPr>
            <w:r>
              <w:rPr>
                <w:sz w:val="24"/>
                <w:szCs w:val="24"/>
              </w:rPr>
              <w:t>虚拟数控铣床装调检测实训系统（ZTXX30）</w:t>
            </w:r>
          </w:p>
        </w:tc>
        <w:tc>
          <w:tcPr>
            <w:tcW w:w="5042"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软件主要设置以下部分实训内容：包括主轴的拆卸与装调、铣床的拆卸、整机装配与部件检测、电器线路介绍内容。</w:t>
            </w:r>
          </w:p>
        </w:tc>
      </w:tr>
      <w:tr>
        <w:tblPrEx>
          <w:tblCellMar>
            <w:top w:w="0" w:type="dxa"/>
            <w:left w:w="108" w:type="dxa"/>
            <w:bottom w:w="0" w:type="dxa"/>
            <w:right w:w="108" w:type="dxa"/>
          </w:tblCellMar>
        </w:tblPrEx>
        <w:tc>
          <w:tcPr>
            <w:tcW w:w="1120" w:type="dxa"/>
            <w:tcBorders>
              <w:top w:val="single" w:color="000000" w:sz="4" w:space="0"/>
              <w:left w:val="single" w:color="000000" w:sz="12" w:space="0"/>
              <w:bottom w:val="single" w:color="000000" w:sz="4" w:space="0"/>
              <w:right w:val="single" w:color="000000" w:sz="4" w:space="0"/>
            </w:tcBorders>
            <w:vAlign w:val="center"/>
          </w:tcPr>
          <w:p>
            <w:pPr>
              <w:jc w:val="center"/>
              <w:rPr>
                <w:sz w:val="24"/>
                <w:szCs w:val="24"/>
              </w:rPr>
            </w:pPr>
            <w:r>
              <w:rPr>
                <w:rFonts w:hint="eastAsia"/>
                <w:sz w:val="24"/>
                <w:szCs w:val="24"/>
              </w:rPr>
              <w:t>8</w:t>
            </w:r>
          </w:p>
        </w:tc>
        <w:tc>
          <w:tcPr>
            <w:tcW w:w="3158" w:type="dxa"/>
            <w:tcBorders>
              <w:top w:val="single" w:color="000000" w:sz="4" w:space="0"/>
              <w:left w:val="single" w:color="000000" w:sz="4" w:space="0"/>
              <w:bottom w:val="single" w:color="000000" w:sz="4" w:space="0"/>
              <w:right w:val="single" w:color="000000" w:sz="4" w:space="0"/>
            </w:tcBorders>
            <w:vAlign w:val="center"/>
          </w:tcPr>
          <w:p>
            <w:pPr>
              <w:rPr>
                <w:sz w:val="24"/>
                <w:szCs w:val="24"/>
              </w:rPr>
            </w:pPr>
            <w:r>
              <w:rPr>
                <w:sz w:val="24"/>
                <w:szCs w:val="24"/>
              </w:rPr>
              <w:t>数控机床安装调试软件</w:t>
            </w:r>
          </w:p>
        </w:tc>
        <w:tc>
          <w:tcPr>
            <w:tcW w:w="5042"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软件支持包括FANUC系统、HNC-8系列系统、SINUMERIK 808D系统三种系统的参数调试。</w:t>
            </w:r>
          </w:p>
        </w:tc>
      </w:tr>
      <w:tr>
        <w:tblPrEx>
          <w:tblCellMar>
            <w:top w:w="0" w:type="dxa"/>
            <w:left w:w="108" w:type="dxa"/>
            <w:bottom w:w="0" w:type="dxa"/>
            <w:right w:w="108" w:type="dxa"/>
          </w:tblCellMar>
        </w:tblPrEx>
        <w:tc>
          <w:tcPr>
            <w:tcW w:w="1120" w:type="dxa"/>
            <w:tcBorders>
              <w:top w:val="single" w:color="000000" w:sz="4" w:space="0"/>
              <w:left w:val="single" w:color="000000" w:sz="12" w:space="0"/>
              <w:bottom w:val="single" w:color="000000" w:sz="4" w:space="0"/>
              <w:right w:val="single" w:color="000000" w:sz="4" w:space="0"/>
            </w:tcBorders>
            <w:vAlign w:val="center"/>
          </w:tcPr>
          <w:p>
            <w:pPr>
              <w:jc w:val="center"/>
            </w:pPr>
            <w:r>
              <w:rPr>
                <w:rFonts w:hint="eastAsia"/>
                <w:sz w:val="24"/>
                <w:szCs w:val="24"/>
              </w:rPr>
              <w:t>9</w:t>
            </w:r>
          </w:p>
        </w:tc>
        <w:tc>
          <w:tcPr>
            <w:tcW w:w="3158" w:type="dxa"/>
            <w:tcBorders>
              <w:top w:val="single" w:color="000000" w:sz="4" w:space="0"/>
              <w:left w:val="single" w:color="000000" w:sz="4" w:space="0"/>
              <w:bottom w:val="single" w:color="000000" w:sz="4" w:space="0"/>
              <w:right w:val="single" w:color="000000" w:sz="4" w:space="0"/>
            </w:tcBorders>
            <w:vAlign w:val="center"/>
          </w:tcPr>
          <w:p>
            <w:pPr>
              <w:rPr>
                <w:sz w:val="24"/>
                <w:szCs w:val="24"/>
              </w:rPr>
            </w:pPr>
            <w:r>
              <w:rPr>
                <w:sz w:val="24"/>
                <w:szCs w:val="24"/>
              </w:rPr>
              <w:t>虚拟加工中心自由加工</w:t>
            </w:r>
          </w:p>
        </w:tc>
        <w:tc>
          <w:tcPr>
            <w:tcW w:w="5042"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软件主要从动模板模框加工、开放槽综合案例、外轮廓综合案例、钻孔加工案例、平面铣加工案例、矩形槽加工案例等方面进行介绍。</w:t>
            </w:r>
          </w:p>
        </w:tc>
      </w:tr>
      <w:tr>
        <w:tblPrEx>
          <w:tblCellMar>
            <w:top w:w="0" w:type="dxa"/>
            <w:left w:w="108" w:type="dxa"/>
            <w:bottom w:w="0" w:type="dxa"/>
            <w:right w:w="108" w:type="dxa"/>
          </w:tblCellMar>
        </w:tblPrEx>
        <w:tc>
          <w:tcPr>
            <w:tcW w:w="1120" w:type="dxa"/>
            <w:tcBorders>
              <w:top w:val="single" w:color="000000" w:sz="4" w:space="0"/>
              <w:left w:val="single" w:color="000000" w:sz="12" w:space="0"/>
              <w:bottom w:val="single" w:color="000000" w:sz="4" w:space="0"/>
              <w:right w:val="single" w:color="000000" w:sz="4" w:space="0"/>
            </w:tcBorders>
            <w:vAlign w:val="center"/>
          </w:tcPr>
          <w:p>
            <w:pPr>
              <w:jc w:val="center"/>
              <w:rPr>
                <w:sz w:val="24"/>
                <w:szCs w:val="24"/>
              </w:rPr>
            </w:pPr>
            <w:r>
              <w:rPr>
                <w:rFonts w:hint="eastAsia"/>
                <w:sz w:val="24"/>
                <w:szCs w:val="24"/>
              </w:rPr>
              <w:t>10</w:t>
            </w:r>
          </w:p>
        </w:tc>
        <w:tc>
          <w:tcPr>
            <w:tcW w:w="3158" w:type="dxa"/>
            <w:tcBorders>
              <w:top w:val="single" w:color="000000" w:sz="4" w:space="0"/>
              <w:left w:val="single" w:color="000000" w:sz="4" w:space="0"/>
              <w:bottom w:val="single" w:color="000000" w:sz="4" w:space="0"/>
              <w:right w:val="single" w:color="000000" w:sz="4" w:space="0"/>
            </w:tcBorders>
            <w:vAlign w:val="center"/>
          </w:tcPr>
          <w:p>
            <w:pPr>
              <w:rPr>
                <w:sz w:val="24"/>
                <w:szCs w:val="24"/>
              </w:rPr>
            </w:pPr>
            <w:r>
              <w:rPr>
                <w:sz w:val="24"/>
                <w:szCs w:val="24"/>
              </w:rPr>
              <w:t>虚拟加工中心装调与维修</w:t>
            </w:r>
          </w:p>
        </w:tc>
        <w:tc>
          <w:tcPr>
            <w:tcW w:w="5042" w:type="dxa"/>
            <w:tcBorders>
              <w:top w:val="single" w:color="000000" w:sz="4" w:space="0"/>
              <w:left w:val="single" w:color="000000" w:sz="4" w:space="0"/>
              <w:bottom w:val="single" w:color="000000" w:sz="4" w:space="0"/>
              <w:right w:val="single" w:color="000000" w:sz="12" w:space="0"/>
            </w:tcBorders>
            <w:vAlign w:val="center"/>
          </w:tcPr>
          <w:p>
            <w:pPr>
              <w:rPr>
                <w:sz w:val="24"/>
                <w:szCs w:val="24"/>
              </w:rPr>
            </w:pPr>
            <w:r>
              <w:rPr>
                <w:sz w:val="24"/>
                <w:szCs w:val="24"/>
              </w:rPr>
              <w:t>软件主要设置以下三部分实训内容：主轴拆卸与装调、整机装配与部件检测、整机检测实训。</w:t>
            </w:r>
          </w:p>
        </w:tc>
      </w:tr>
      <w:tr>
        <w:tblPrEx>
          <w:tblCellMar>
            <w:top w:w="0" w:type="dxa"/>
            <w:left w:w="108" w:type="dxa"/>
            <w:bottom w:w="0" w:type="dxa"/>
            <w:right w:w="108" w:type="dxa"/>
          </w:tblCellMar>
        </w:tblPrEx>
        <w:tc>
          <w:tcPr>
            <w:tcW w:w="1120" w:type="dxa"/>
            <w:tcBorders>
              <w:top w:val="single" w:color="000000" w:sz="4" w:space="0"/>
              <w:left w:val="single" w:color="000000" w:sz="12" w:space="0"/>
              <w:bottom w:val="single" w:color="000000" w:sz="4" w:space="0"/>
              <w:right w:val="single" w:color="000000" w:sz="4" w:space="0"/>
            </w:tcBorders>
            <w:vAlign w:val="center"/>
          </w:tcPr>
          <w:p>
            <w:pPr>
              <w:jc w:val="center"/>
              <w:rPr>
                <w:sz w:val="24"/>
                <w:szCs w:val="24"/>
              </w:rPr>
            </w:pPr>
            <w:r>
              <w:rPr>
                <w:rFonts w:hint="eastAsia"/>
                <w:sz w:val="24"/>
                <w:szCs w:val="24"/>
              </w:rPr>
              <w:t>11</w:t>
            </w:r>
          </w:p>
        </w:tc>
        <w:tc>
          <w:tcPr>
            <w:tcW w:w="3158" w:type="dxa"/>
            <w:tcBorders>
              <w:top w:val="single" w:color="000000" w:sz="4" w:space="0"/>
              <w:left w:val="single" w:color="000000" w:sz="4" w:space="0"/>
              <w:bottom w:val="single" w:color="000000" w:sz="4" w:space="0"/>
              <w:right w:val="single" w:color="000000" w:sz="4" w:space="0"/>
            </w:tcBorders>
            <w:vAlign w:val="center"/>
          </w:tcPr>
          <w:p>
            <w:pPr>
              <w:ind w:firstLine="480"/>
              <w:rPr>
                <w:sz w:val="24"/>
                <w:szCs w:val="24"/>
              </w:rPr>
            </w:pPr>
            <w:r>
              <w:rPr>
                <w:rFonts w:hint="eastAsia"/>
                <w:sz w:val="24"/>
                <w:szCs w:val="24"/>
              </w:rPr>
              <w:t>模具拆装仿真</w:t>
            </w:r>
          </w:p>
        </w:tc>
        <w:tc>
          <w:tcPr>
            <w:tcW w:w="5042" w:type="dxa"/>
            <w:tcBorders>
              <w:top w:val="single" w:color="000000" w:sz="4" w:space="0"/>
              <w:left w:val="single" w:color="000000" w:sz="4" w:space="0"/>
              <w:bottom w:val="single" w:color="000000" w:sz="4" w:space="0"/>
              <w:right w:val="single" w:color="000000" w:sz="12" w:space="0"/>
            </w:tcBorders>
            <w:vAlign w:val="center"/>
          </w:tcPr>
          <w:p>
            <w:pPr>
              <w:ind w:firstLine="480"/>
              <w:rPr>
                <w:sz w:val="24"/>
                <w:szCs w:val="24"/>
              </w:rPr>
            </w:pPr>
            <w:r>
              <w:rPr>
                <w:rFonts w:hint="eastAsia"/>
                <w:sz w:val="24"/>
                <w:szCs w:val="24"/>
              </w:rPr>
              <w:t>软件主要设置以下部分实训内容：注塑模具、冲压模具、挤压模具、吹塑模具的工艺与结构分析，拆卸过程，虚拟模具培训系统。</w:t>
            </w:r>
          </w:p>
        </w:tc>
      </w:tr>
    </w:tbl>
    <w:p>
      <w:pPr>
        <w:ind w:firstLine="560" w:firstLineChars="200"/>
        <w:rPr>
          <w:rFonts w:ascii="仿宋_GB2312;仿宋" w:hAnsi="仿宋_GB2312;仿宋" w:eastAsia="仿宋_GB2312;仿宋" w:cs="仿宋"/>
          <w:szCs w:val="28"/>
        </w:rPr>
      </w:pPr>
      <w:r>
        <w:rPr>
          <w:rFonts w:hint="eastAsia" w:ascii="仿宋_GB2312;仿宋" w:hAnsi="仿宋_GB2312;仿宋" w:eastAsia="仿宋_GB2312;仿宋" w:cs="仿宋"/>
          <w:szCs w:val="28"/>
        </w:rPr>
        <w:t>6.4.3车辆系列虚拟仿真</w:t>
      </w:r>
    </w:p>
    <w:tbl>
      <w:tblPr>
        <w:tblStyle w:val="9"/>
        <w:tblW w:w="929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3159"/>
        <w:gridCol w:w="50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vAlign w:val="center"/>
          </w:tcPr>
          <w:p>
            <w:pPr>
              <w:rPr>
                <w:rFonts w:ascii="仿宋_GB2312;仿宋" w:hAnsi="仿宋_GB2312;仿宋" w:eastAsia="仿宋_GB2312;仿宋" w:cs="仿宋"/>
                <w:szCs w:val="28"/>
              </w:rPr>
            </w:pPr>
            <w:r>
              <w:rPr>
                <w:rFonts w:hint="eastAsia" w:ascii="仿宋_GB2312;仿宋" w:hAnsi="仿宋_GB2312;仿宋" w:eastAsia="仿宋_GB2312;仿宋" w:cs="仿宋"/>
                <w:szCs w:val="28"/>
              </w:rPr>
              <w:t>序号</w:t>
            </w:r>
          </w:p>
        </w:tc>
        <w:tc>
          <w:tcPr>
            <w:tcW w:w="3159" w:type="dxa"/>
            <w:vAlign w:val="center"/>
          </w:tcPr>
          <w:p>
            <w:pPr>
              <w:rPr>
                <w:rFonts w:ascii="仿宋_GB2312;仿宋" w:hAnsi="仿宋_GB2312;仿宋" w:eastAsia="仿宋_GB2312;仿宋" w:cs="仿宋"/>
                <w:szCs w:val="28"/>
              </w:rPr>
            </w:pPr>
            <w:r>
              <w:rPr>
                <w:rFonts w:hint="eastAsia" w:ascii="仿宋_GB2312;仿宋" w:hAnsi="仿宋_GB2312;仿宋" w:eastAsia="仿宋_GB2312;仿宋" w:cs="仿宋"/>
                <w:szCs w:val="28"/>
              </w:rPr>
              <w:t>名称</w:t>
            </w:r>
          </w:p>
        </w:tc>
        <w:tc>
          <w:tcPr>
            <w:tcW w:w="5011" w:type="dxa"/>
            <w:vAlign w:val="center"/>
          </w:tcPr>
          <w:p>
            <w:pPr>
              <w:rPr>
                <w:rFonts w:ascii="仿宋_GB2312;仿宋" w:hAnsi="仿宋_GB2312;仿宋" w:eastAsia="仿宋_GB2312;仿宋" w:cs="仿宋"/>
                <w:szCs w:val="28"/>
              </w:rPr>
            </w:pPr>
            <w:r>
              <w:rPr>
                <w:rFonts w:hint="eastAsia" w:ascii="仿宋_GB2312;仿宋" w:hAnsi="仿宋_GB2312;仿宋" w:eastAsia="仿宋_GB2312;仿宋" w:cs="仿宋"/>
                <w:szCs w:val="28"/>
              </w:rPr>
              <w:t>实训内容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vAlign w:val="center"/>
          </w:tcPr>
          <w:p>
            <w:pPr>
              <w:jc w:val="center"/>
              <w:rPr>
                <w:rFonts w:ascii="仿宋_GB2312;仿宋" w:hAnsi="仿宋_GB2312;仿宋" w:eastAsia="仿宋_GB2312;仿宋" w:cs="仿宋"/>
                <w:szCs w:val="28"/>
              </w:rPr>
            </w:pPr>
            <w:r>
              <w:rPr>
                <w:rFonts w:hint="eastAsia" w:ascii="仿宋_GB2312;仿宋" w:hAnsi="仿宋_GB2312;仿宋" w:eastAsia="仿宋_GB2312;仿宋" w:cs="仿宋"/>
                <w:szCs w:val="28"/>
              </w:rPr>
              <w:t>1</w:t>
            </w:r>
          </w:p>
        </w:tc>
        <w:tc>
          <w:tcPr>
            <w:tcW w:w="3159" w:type="dxa"/>
            <w:vAlign w:val="center"/>
          </w:tcPr>
          <w:p>
            <w:pPr>
              <w:rPr>
                <w:rFonts w:ascii="仿宋_GB2312;仿宋" w:hAnsi="仿宋_GB2312;仿宋" w:eastAsia="仿宋_GB2312;仿宋" w:cs="仿宋"/>
                <w:szCs w:val="28"/>
              </w:rPr>
            </w:pPr>
            <w:r>
              <w:rPr>
                <w:rFonts w:hint="eastAsia" w:ascii="仿宋_GB2312;仿宋" w:hAnsi="仿宋_GB2312;仿宋" w:eastAsia="仿宋_GB2312;仿宋" w:cs="仿宋"/>
                <w:szCs w:val="28"/>
              </w:rPr>
              <w:t>虚拟汽车发动机拆装仿真</w:t>
            </w:r>
          </w:p>
        </w:tc>
        <w:tc>
          <w:tcPr>
            <w:tcW w:w="5011" w:type="dxa"/>
            <w:vAlign w:val="center"/>
          </w:tcPr>
          <w:p>
            <w:pPr>
              <w:rPr>
                <w:rFonts w:ascii="仿宋_GB2312;仿宋" w:hAnsi="仿宋_GB2312;仿宋" w:eastAsia="仿宋_GB2312;仿宋" w:cs="仿宋"/>
                <w:szCs w:val="28"/>
              </w:rPr>
            </w:pPr>
            <w:r>
              <w:rPr>
                <w:rFonts w:hint="eastAsia" w:ascii="仿宋_GB2312;仿宋" w:hAnsi="仿宋_GB2312;仿宋" w:eastAsia="仿宋_GB2312;仿宋" w:cs="仿宋"/>
                <w:szCs w:val="28"/>
              </w:rPr>
              <w:t>以桑塔纳2000车型的AYJ发动机为原型，发动机模型与真实发动机保持1:1比例关系。将虚拟发动机拆装流程划分为10个单元化项目，包含凸轮轴、曲轴、进气系统、排气系统、气缸、气缸盖、润滑系统、冷却系统、燃油系统以及发动机的其他周围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vAlign w:val="center"/>
          </w:tcPr>
          <w:p>
            <w:pPr>
              <w:jc w:val="center"/>
              <w:rPr>
                <w:rFonts w:ascii="仿宋_GB2312;仿宋" w:hAnsi="仿宋_GB2312;仿宋" w:eastAsia="仿宋_GB2312;仿宋" w:cs="仿宋"/>
                <w:szCs w:val="28"/>
              </w:rPr>
            </w:pPr>
            <w:r>
              <w:rPr>
                <w:rFonts w:hint="eastAsia" w:ascii="仿宋_GB2312;仿宋" w:hAnsi="仿宋_GB2312;仿宋" w:eastAsia="仿宋_GB2312;仿宋" w:cs="仿宋"/>
                <w:szCs w:val="28"/>
              </w:rPr>
              <w:t>2</w:t>
            </w:r>
          </w:p>
        </w:tc>
        <w:tc>
          <w:tcPr>
            <w:tcW w:w="3159" w:type="dxa"/>
            <w:vAlign w:val="center"/>
          </w:tcPr>
          <w:p>
            <w:pPr>
              <w:rPr>
                <w:rFonts w:ascii="仿宋_GB2312;仿宋" w:hAnsi="仿宋_GB2312;仿宋" w:eastAsia="仿宋_GB2312;仿宋" w:cs="仿宋"/>
                <w:szCs w:val="28"/>
              </w:rPr>
            </w:pPr>
            <w:r>
              <w:rPr>
                <w:rFonts w:hint="eastAsia" w:ascii="仿宋_GB2312;仿宋" w:hAnsi="仿宋_GB2312;仿宋" w:eastAsia="仿宋_GB2312;仿宋" w:cs="仿宋"/>
                <w:szCs w:val="28"/>
              </w:rPr>
              <w:t>虚拟变速箱整机拆装仿真</w:t>
            </w:r>
          </w:p>
        </w:tc>
        <w:tc>
          <w:tcPr>
            <w:tcW w:w="5011" w:type="dxa"/>
            <w:vAlign w:val="center"/>
          </w:tcPr>
          <w:p>
            <w:pPr>
              <w:rPr>
                <w:rFonts w:ascii="仿宋_GB2312;仿宋" w:hAnsi="仿宋_GB2312;仿宋" w:eastAsia="仿宋_GB2312;仿宋" w:cs="仿宋"/>
                <w:szCs w:val="28"/>
              </w:rPr>
            </w:pPr>
            <w:r>
              <w:rPr>
                <w:rFonts w:hint="eastAsia" w:ascii="仿宋_GB2312;仿宋" w:hAnsi="仿宋_GB2312;仿宋" w:eastAsia="仿宋_GB2312;仿宋" w:cs="仿宋"/>
                <w:szCs w:val="28"/>
              </w:rPr>
              <w:t>学习和掌握变速箱的工作原理与结构组成，能正确的进行装置的拆装与维修。</w:t>
            </w:r>
          </w:p>
          <w:p>
            <w:pPr>
              <w:rPr>
                <w:rFonts w:ascii="仿宋_GB2312;仿宋" w:hAnsi="仿宋_GB2312;仿宋" w:eastAsia="仿宋_GB2312;仿宋" w:cs="仿宋"/>
                <w:szCs w:val="28"/>
              </w:rPr>
            </w:pPr>
            <w:r>
              <w:rPr>
                <w:rFonts w:hint="eastAsia" w:ascii="仿宋_GB2312;仿宋" w:hAnsi="仿宋_GB2312;仿宋" w:eastAsia="仿宋_GB2312;仿宋" w:cs="仿宋"/>
                <w:szCs w:val="28"/>
              </w:rPr>
              <w:t>变速箱的拆卸：离合器压盘拆卸、离合器片拆卸、变速箱支架拆卸、法兰盘（内球笼）拆卸、脉速传感器拆卸、变速箱侧盖拆卸、差速器拆卸、后堵拆卸、变速箱后截拆卸、变速箱中截拆卸。</w:t>
            </w:r>
          </w:p>
          <w:p>
            <w:pPr>
              <w:rPr>
                <w:rFonts w:ascii="仿宋_GB2312;仿宋" w:hAnsi="仿宋_GB2312;仿宋" w:eastAsia="仿宋_GB2312;仿宋" w:cs="仿宋"/>
                <w:szCs w:val="28"/>
              </w:rPr>
            </w:pPr>
            <w:r>
              <w:rPr>
                <w:rFonts w:hint="eastAsia" w:ascii="仿宋_GB2312;仿宋" w:hAnsi="仿宋_GB2312;仿宋" w:eastAsia="仿宋_GB2312;仿宋" w:cs="仿宋"/>
                <w:szCs w:val="28"/>
              </w:rPr>
              <w:t>变速箱的装配：输出轴安装、输入轴安装、倒挡轴安装、3-4档换挡轴安装、1-2换挡拨叉安装、五档同步器安装、选档杆安装、分离轴承套筒安装、分离轴承支架安装、变速箱中截安装。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dxa"/>
            <w:vAlign w:val="center"/>
          </w:tcPr>
          <w:p>
            <w:pPr>
              <w:jc w:val="center"/>
              <w:rPr>
                <w:rFonts w:ascii="仿宋_GB2312;仿宋" w:hAnsi="仿宋_GB2312;仿宋" w:eastAsia="仿宋_GB2312;仿宋" w:cs="仿宋"/>
                <w:szCs w:val="28"/>
              </w:rPr>
            </w:pPr>
            <w:r>
              <w:rPr>
                <w:rFonts w:hint="eastAsia" w:ascii="仿宋_GB2312;仿宋" w:hAnsi="仿宋_GB2312;仿宋" w:eastAsia="仿宋_GB2312;仿宋" w:cs="仿宋"/>
                <w:szCs w:val="28"/>
              </w:rPr>
              <w:t>3</w:t>
            </w:r>
          </w:p>
        </w:tc>
        <w:tc>
          <w:tcPr>
            <w:tcW w:w="3159" w:type="dxa"/>
            <w:vAlign w:val="center"/>
          </w:tcPr>
          <w:p>
            <w:pPr>
              <w:ind w:firstLine="480"/>
              <w:rPr>
                <w:sz w:val="24"/>
                <w:szCs w:val="24"/>
              </w:rPr>
            </w:pPr>
            <w:r>
              <w:rPr>
                <w:rFonts w:hint="eastAsia"/>
                <w:sz w:val="24"/>
                <w:szCs w:val="24"/>
              </w:rPr>
              <w:t>虚拟汽车钣金工</w:t>
            </w:r>
          </w:p>
        </w:tc>
        <w:tc>
          <w:tcPr>
            <w:tcW w:w="5011" w:type="dxa"/>
            <w:vAlign w:val="center"/>
          </w:tcPr>
          <w:p>
            <w:pPr>
              <w:ind w:firstLine="480"/>
              <w:rPr>
                <w:sz w:val="24"/>
                <w:szCs w:val="24"/>
              </w:rPr>
            </w:pPr>
            <w:r>
              <w:rPr>
                <w:rFonts w:hint="eastAsia"/>
                <w:sz w:val="24"/>
                <w:szCs w:val="24"/>
              </w:rPr>
              <w:t>分为教学案例和自由操作两个板块。以过程动画的形式完整介绍钣金修复的过程。包括车门凹陷钣金修复、车前盖凹陷钣金修复等。以车门凹陷钣金修复为例，具体过程包括根据钣金损伤情况采用合适的方式对车门进行修复。开启电源、搭铁放在门上、用焊枪进行拉拔修复、使用拉锤往复操作使车门复原、各设备放回原位、使用打磨机打磨、挂腻子粉、使用干磨机对腻子区进行打磨、使用喷枪进行喷漆、进行烘干、再次打磨、喷漆、二次烘干、清漆处理、抛光处理、水枪清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dxa"/>
            <w:vAlign w:val="center"/>
          </w:tcPr>
          <w:p>
            <w:pPr>
              <w:jc w:val="center"/>
              <w:rPr>
                <w:rFonts w:ascii="仿宋_GB2312;仿宋" w:hAnsi="仿宋_GB2312;仿宋" w:eastAsia="仿宋_GB2312;仿宋" w:cs="仿宋"/>
                <w:szCs w:val="28"/>
              </w:rPr>
            </w:pPr>
            <w:r>
              <w:rPr>
                <w:rFonts w:hint="eastAsia" w:ascii="仿宋_GB2312;仿宋" w:hAnsi="仿宋_GB2312;仿宋" w:eastAsia="仿宋_GB2312;仿宋" w:cs="仿宋"/>
                <w:szCs w:val="28"/>
              </w:rPr>
              <w:t>4</w:t>
            </w:r>
          </w:p>
        </w:tc>
        <w:tc>
          <w:tcPr>
            <w:tcW w:w="3159" w:type="dxa"/>
            <w:vAlign w:val="center"/>
          </w:tcPr>
          <w:p>
            <w:pPr>
              <w:ind w:firstLine="480"/>
              <w:rPr>
                <w:sz w:val="24"/>
                <w:szCs w:val="24"/>
              </w:rPr>
            </w:pPr>
            <w:r>
              <w:rPr>
                <w:rFonts w:hint="eastAsia"/>
                <w:sz w:val="24"/>
                <w:szCs w:val="24"/>
              </w:rPr>
              <w:t>汽车故障维修虚拟仿真</w:t>
            </w:r>
          </w:p>
        </w:tc>
        <w:tc>
          <w:tcPr>
            <w:tcW w:w="5011" w:type="dxa"/>
            <w:vAlign w:val="center"/>
          </w:tcPr>
          <w:p>
            <w:pPr>
              <w:ind w:firstLine="480"/>
              <w:rPr>
                <w:sz w:val="24"/>
                <w:szCs w:val="24"/>
              </w:rPr>
            </w:pPr>
            <w:r>
              <w:rPr>
                <w:rFonts w:hint="eastAsia"/>
                <w:sz w:val="24"/>
                <w:szCs w:val="24"/>
              </w:rPr>
              <w:t>软件以真实汽车故障维修车间为场景，进行精准建模。主要设置车窗控制电路和发动机缺缸故障。通过“四步法”进行故障排查。以车窗控制电路故障为例： </w:t>
            </w:r>
          </w:p>
          <w:p>
            <w:pPr>
              <w:ind w:firstLine="480"/>
              <w:rPr>
                <w:sz w:val="24"/>
                <w:szCs w:val="24"/>
              </w:rPr>
            </w:pPr>
            <w:r>
              <w:rPr>
                <w:rFonts w:hint="eastAsia"/>
                <w:sz w:val="24"/>
                <w:szCs w:val="24"/>
              </w:rPr>
              <w:t>1）故障现象：为汽车启动后左前门车窗可控制左前门车窗升降，但左后门车窗无法控制左后门车窗升降。 </w:t>
            </w:r>
          </w:p>
          <w:p>
            <w:pPr>
              <w:ind w:firstLine="480"/>
              <w:rPr>
                <w:sz w:val="24"/>
                <w:szCs w:val="24"/>
              </w:rPr>
            </w:pPr>
            <w:r>
              <w:rPr>
                <w:rFonts w:hint="eastAsia"/>
                <w:sz w:val="24"/>
                <w:szCs w:val="24"/>
              </w:rPr>
              <w:t>2）故障原因：可能为左前门到左后门的线束或左前门开关故障。 </w:t>
            </w:r>
          </w:p>
          <w:p>
            <w:pPr>
              <w:ind w:firstLine="480"/>
              <w:rPr>
                <w:sz w:val="24"/>
                <w:szCs w:val="24"/>
              </w:rPr>
            </w:pPr>
            <w:r>
              <w:rPr>
                <w:rFonts w:hint="eastAsia"/>
                <w:sz w:val="24"/>
                <w:szCs w:val="24"/>
              </w:rPr>
              <w:t>3）故障试判断：连接蓝牙检测器，发现无故障代码；选择读取测量值，按动前车窗按钮测量值显示激活，而按动后车窗按钮测量值无变化，说明后车窗按钮与后车窗连接的线路出现问题。 </w:t>
            </w:r>
          </w:p>
          <w:p>
            <w:pPr>
              <w:ind w:firstLine="480"/>
              <w:rPr>
                <w:sz w:val="24"/>
                <w:szCs w:val="24"/>
              </w:rPr>
            </w:pPr>
            <w:r>
              <w:rPr>
                <w:rFonts w:hint="eastAsia"/>
                <w:sz w:val="24"/>
                <w:szCs w:val="24"/>
              </w:rPr>
              <w:t>4）故障维修：修复故障电路，维修完成后整理场地和工具。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dxa"/>
            <w:vAlign w:val="center"/>
          </w:tcPr>
          <w:p>
            <w:pPr>
              <w:jc w:val="center"/>
              <w:rPr>
                <w:rFonts w:ascii="仿宋_GB2312;仿宋" w:hAnsi="仿宋_GB2312;仿宋" w:eastAsia="仿宋_GB2312;仿宋" w:cs="仿宋"/>
                <w:szCs w:val="28"/>
              </w:rPr>
            </w:pPr>
            <w:r>
              <w:rPr>
                <w:rFonts w:hint="eastAsia" w:ascii="仿宋_GB2312;仿宋" w:hAnsi="仿宋_GB2312;仿宋" w:eastAsia="仿宋_GB2312;仿宋" w:cs="仿宋"/>
                <w:szCs w:val="28"/>
              </w:rPr>
              <w:t>5</w:t>
            </w:r>
          </w:p>
        </w:tc>
        <w:tc>
          <w:tcPr>
            <w:tcW w:w="3159" w:type="dxa"/>
            <w:vAlign w:val="center"/>
          </w:tcPr>
          <w:p>
            <w:pPr>
              <w:rPr>
                <w:rFonts w:ascii="仿宋_GB2312;仿宋" w:hAnsi="仿宋_GB2312;仿宋" w:eastAsia="仿宋_GB2312;仿宋" w:cs="仿宋"/>
                <w:szCs w:val="28"/>
              </w:rPr>
            </w:pPr>
            <w:r>
              <w:rPr>
                <w:rFonts w:hint="eastAsia" w:ascii="仿宋_GB2312;仿宋" w:hAnsi="仿宋_GB2312;仿宋" w:eastAsia="仿宋_GB2312;仿宋" w:cs="仿宋"/>
                <w:szCs w:val="28"/>
              </w:rPr>
              <w:t>新能源汽车维修仿真</w:t>
            </w:r>
          </w:p>
        </w:tc>
        <w:tc>
          <w:tcPr>
            <w:tcW w:w="5011" w:type="dxa"/>
            <w:vAlign w:val="center"/>
          </w:tcPr>
          <w:p>
            <w:pPr>
              <w:rPr>
                <w:rFonts w:ascii="仿宋_GB2312;仿宋" w:hAnsi="仿宋_GB2312;仿宋" w:eastAsia="仿宋_GB2312;仿宋" w:cs="仿宋"/>
                <w:szCs w:val="28"/>
              </w:rPr>
            </w:pPr>
            <w:r>
              <w:rPr>
                <w:rFonts w:hint="eastAsia" w:ascii="仿宋_GB2312;仿宋" w:hAnsi="仿宋_GB2312;仿宋" w:eastAsia="仿宋_GB2312;仿宋" w:cs="仿宋"/>
                <w:szCs w:val="28"/>
              </w:rPr>
              <w:t>新能源汽车电路维修、电池包拆装、检查工具的使用，安全操作等</w:t>
            </w:r>
          </w:p>
        </w:tc>
      </w:tr>
    </w:tbl>
    <w:p>
      <w:pPr>
        <w:rPr>
          <w:rFonts w:ascii="仿宋_GB2312;仿宋" w:hAnsi="仿宋_GB2312;仿宋" w:eastAsia="仿宋_GB2312;仿宋" w:cs="仿宋"/>
          <w:szCs w:val="28"/>
        </w:rPr>
      </w:pPr>
    </w:p>
    <w:p>
      <w:pPr>
        <w:pStyle w:val="4"/>
        <w:ind w:firstLine="562" w:firstLineChars="200"/>
      </w:pPr>
      <w:bookmarkStart w:id="19" w:name="__RefHeading___Toc31751"/>
      <w:bookmarkEnd w:id="19"/>
      <w:r>
        <w:t>6.5虚拟仿真教学管理与共享平台</w:t>
      </w:r>
    </w:p>
    <w:p>
      <w:pPr>
        <w:ind w:firstLine="560" w:firstLineChars="200"/>
      </w:pPr>
      <w:r>
        <w:t>6.5.1简述</w:t>
      </w:r>
    </w:p>
    <w:p>
      <w:pPr>
        <w:ind w:firstLine="560" w:firstLineChars="200"/>
      </w:pPr>
      <w:r>
        <w:rPr>
          <w:lang w:val="zh-CN"/>
        </w:rPr>
        <w:t>围绕信息化教学的真实需求，运用计算机网络技术、数据存储技术、快速数据处理技术等，</w:t>
      </w:r>
      <w:r>
        <w:t>构建虚拟仿真教学实训管理云平台，满足当下“泛在化”（即3A，anytime、anywhere、anybody）、“碎片化”的学习和使用需求，面向全体师生真正做到“管起来”和“用起来”。</w:t>
      </w:r>
    </w:p>
    <w:p>
      <w:pPr>
        <w:ind w:firstLine="560" w:firstLineChars="200"/>
      </w:pPr>
      <w:r>
        <w:t>五聚合：聚合人、功能、场景、资源和数据，进行资源共享和仅统一管理决策，避免重复投资，提高管理效率。</w:t>
      </w:r>
    </w:p>
    <w:p>
      <w:pPr>
        <w:ind w:firstLine="560" w:firstLineChars="200"/>
      </w:pPr>
      <w:r>
        <w:t>泛在化：支持移动端进行实验预约、实验数据录入、用户身份识别等，只要是合法的用户，随时可使用实训基地资源。</w:t>
      </w:r>
    </w:p>
    <w:p>
      <w:pPr>
        <w:ind w:firstLine="560" w:firstLineChars="200"/>
      </w:pPr>
      <w:r>
        <w:t>全方位监控：</w:t>
      </w:r>
      <w:r>
        <w:rPr>
          <w:lang w:val="zh-CN"/>
        </w:rPr>
        <w:t>全方位监控</w:t>
      </w:r>
      <w:r>
        <w:t>实训基地</w:t>
      </w:r>
      <w:r>
        <w:rPr>
          <w:lang w:val="zh-CN"/>
        </w:rPr>
        <w:t>各</w:t>
      </w:r>
      <w:r>
        <w:t>资源</w:t>
      </w:r>
      <w:r>
        <w:rPr>
          <w:lang w:val="zh-CN"/>
        </w:rPr>
        <w:t>、</w:t>
      </w:r>
      <w:r>
        <w:t>设备、场地</w:t>
      </w:r>
      <w:r>
        <w:rPr>
          <w:lang w:val="zh-CN"/>
        </w:rPr>
        <w:t>的</w:t>
      </w:r>
      <w:r>
        <w:t>数据质量、资源分配和状态显示</w:t>
      </w:r>
      <w:r>
        <w:rPr>
          <w:lang w:val="zh-CN"/>
        </w:rPr>
        <w:t>，为决策提供依据。</w:t>
      </w:r>
    </w:p>
    <w:p>
      <w:pPr>
        <w:rPr>
          <w:lang w:val="zh-CN"/>
        </w:rPr>
      </w:pPr>
    </w:p>
    <w:p>
      <w:pPr>
        <w:rPr>
          <w:rFonts w:ascii="仿宋_GB2312;仿宋" w:hAnsi="仿宋_GB2312;仿宋" w:eastAsia="仿宋_GB2312;仿宋" w:cs="仿宋"/>
          <w:szCs w:val="28"/>
        </w:rPr>
      </w:pPr>
      <w:r>
        <w:drawing>
          <wp:inline distT="0" distB="0" distL="0" distR="0">
            <wp:extent cx="4742815" cy="2932430"/>
            <wp:effectExtent l="0" t="0" r="0" b="0"/>
            <wp:docPr id="30" name="图像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像12"/>
                    <pic:cNvPicPr>
                      <a:picLocks noChangeAspect="1" noChangeArrowheads="1"/>
                    </pic:cNvPicPr>
                  </pic:nvPicPr>
                  <pic:blipFill>
                    <a:blip r:embed="rId26"/>
                    <a:srcRect l="-15" t="-25" r="-15" b="-25"/>
                    <a:stretch>
                      <a:fillRect/>
                    </a:stretch>
                  </pic:blipFill>
                  <pic:spPr>
                    <a:xfrm>
                      <a:off x="0" y="0"/>
                      <a:ext cx="4742815" cy="2932430"/>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实验管理平台整体架构</w:t>
      </w:r>
    </w:p>
    <w:p/>
    <w:p>
      <w:pPr>
        <w:ind w:firstLine="560" w:firstLineChars="200"/>
      </w:pPr>
      <w:r>
        <w:t>6.5.2教学过程管理</w:t>
      </w:r>
    </w:p>
    <w:p>
      <w:pPr>
        <w:ind w:firstLine="560" w:firstLineChars="200"/>
      </w:pPr>
      <w:r>
        <w:t>支持线上自学/测试（学习地图和练考宝典）、现场集中培训（签到、直播培训、讨论答疑等）两种教学实训方式。各功能介绍如下：</w:t>
      </w:r>
    </w:p>
    <w:p>
      <w:pPr>
        <w:ind w:firstLine="560" w:firstLineChars="200"/>
      </w:pPr>
      <w:r>
        <w:t>1）学习地图：学习地图由多个任务构成，每个任务可以包含课件学习、测试、虚拟仿真实验（训）等子任务。通过学习地图，教师向学生提供学习的内容、途径及学习效果测试。学习地图可适用于在线课程、翻转课堂等。</w:t>
      </w:r>
    </w:p>
    <w:p>
      <w:pPr>
        <w:ind w:firstLine="560" w:firstLineChars="200"/>
      </w:pPr>
      <w:r>
        <w:t>2）练考宝典：包括：浏览模式（直接查看试题、答案及解析）、练习模式（做题，可查看答案）、闯关模式（一个知识点为一个关卡，每个关卡得分达到教师设定的阀值即视为过关，过关排行榜）、挑战自我模式（同一份试卷模板，每次进入系统随机出题，可以多次进入，高分排行榜）、错题集（作业、考试、练习等过程中做错的题自动进入错题集）、收藏夹（学生主动收藏的试题）。</w:t>
      </w:r>
    </w:p>
    <w:p>
      <w:pPr>
        <w:ind w:firstLine="560" w:firstLineChars="200"/>
      </w:pPr>
      <w:r>
        <w:t>3）考勤签到：支持GPS及手机硬件识别，可以有效防止考勤作弊。</w:t>
      </w:r>
    </w:p>
    <w:p>
      <w:pPr>
        <w:ind w:firstLine="560" w:firstLineChars="200"/>
      </w:pPr>
      <w:r>
        <w:t>4）直播培训：大班在线直播，连麦互动。</w:t>
      </w:r>
    </w:p>
    <w:p>
      <w:pPr>
        <w:ind w:firstLine="560" w:firstLineChars="200"/>
      </w:pPr>
      <w:r>
        <w:t>5）在线互动：包括随机选人、指定人、抢答、调查问卷等，教师可以根据互动情况给予积分奖励。</w:t>
      </w:r>
    </w:p>
    <w:p>
      <w:pPr>
        <w:ind w:firstLine="560" w:firstLineChars="200"/>
      </w:pPr>
      <w:r>
        <w:t>6）讨论答疑：为在线的培训课程自由讨论区，教师可以设置常见问题。</w:t>
      </w:r>
    </w:p>
    <w:p>
      <w:pPr>
        <w:spacing w:line="360" w:lineRule="auto"/>
        <w:rPr>
          <w:rFonts w:ascii="仿宋_GB2312;仿宋" w:hAnsi="仿宋_GB2312;仿宋" w:eastAsia="仿宋_GB2312;仿宋" w:cs="仿宋"/>
          <w:szCs w:val="28"/>
        </w:rPr>
      </w:pPr>
      <w:r>
        <w:drawing>
          <wp:inline distT="0" distB="0" distL="0" distR="0">
            <wp:extent cx="5149215" cy="3134995"/>
            <wp:effectExtent l="0" t="0" r="0" b="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noChangeArrowheads="1"/>
                    </pic:cNvPicPr>
                  </pic:nvPicPr>
                  <pic:blipFill>
                    <a:blip r:embed="rId27"/>
                    <a:srcRect l="-4" t="-12" r="-4" b="-12"/>
                    <a:stretch>
                      <a:fillRect/>
                    </a:stretch>
                  </pic:blipFill>
                  <pic:spPr>
                    <a:xfrm>
                      <a:off x="0" y="0"/>
                      <a:ext cx="5149215" cy="3134995"/>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资源极其功能页面示意</w:t>
      </w:r>
    </w:p>
    <w:p>
      <w:pPr>
        <w:spacing w:line="360" w:lineRule="auto"/>
        <w:rPr>
          <w:rFonts w:ascii="仿宋_GB2312;仿宋" w:hAnsi="仿宋_GB2312;仿宋" w:eastAsia="仿宋_GB2312;仿宋" w:cs="仿宋"/>
          <w:szCs w:val="28"/>
        </w:rPr>
      </w:pPr>
    </w:p>
    <w:p>
      <w:pPr>
        <w:ind w:firstLine="560" w:firstLineChars="200"/>
      </w:pPr>
      <w:r>
        <w:t>6.5.3虚拟仿真管理</w:t>
      </w:r>
    </w:p>
    <w:p>
      <w:pPr>
        <w:spacing w:line="360" w:lineRule="auto"/>
        <w:ind w:firstLine="560" w:firstLineChars="200"/>
        <w:rPr>
          <w:rFonts w:ascii="仿宋_GB2312;仿宋" w:hAnsi="仿宋_GB2312;仿宋" w:eastAsia="仿宋_GB2312;仿宋" w:cs="仿宋"/>
          <w:szCs w:val="28"/>
        </w:rPr>
      </w:pPr>
      <w:r>
        <w:rPr>
          <w:rFonts w:ascii="仿宋_GB2312;仿宋" w:hAnsi="仿宋_GB2312;仿宋" w:eastAsia="仿宋_GB2312;仿宋" w:cs="仿宋"/>
          <w:szCs w:val="28"/>
        </w:rPr>
        <w:t>1）开放式接口</w:t>
      </w:r>
    </w:p>
    <w:p>
      <w:pPr>
        <w:spacing w:line="360" w:lineRule="auto"/>
        <w:ind w:firstLine="560" w:firstLineChars="200"/>
        <w:rPr>
          <w:rFonts w:ascii="仿宋_GB2312;仿宋" w:hAnsi="仿宋_GB2312;仿宋" w:eastAsia="仿宋_GB2312;仿宋" w:cs="仿宋"/>
          <w:szCs w:val="28"/>
        </w:rPr>
      </w:pPr>
      <w:r>
        <w:rPr>
          <w:rFonts w:ascii="仿宋_GB2312;仿宋" w:hAnsi="仿宋_GB2312;仿宋" w:eastAsia="仿宋_GB2312;仿宋" w:cs="仿宋"/>
          <w:szCs w:val="28"/>
        </w:rPr>
        <w:t>平台具有开放式的接口，支持C/S和B/S两种类型的虚拟仿真软件，提供身份自动认证、虚拟仿真实验/训过程自动跟踪记录与评价。</w:t>
      </w:r>
    </w:p>
    <w:p>
      <w:pPr>
        <w:spacing w:line="360" w:lineRule="auto"/>
        <w:rPr>
          <w:rFonts w:ascii="仿宋_GB2312;仿宋" w:hAnsi="仿宋_GB2312;仿宋" w:eastAsia="仿宋_GB2312;仿宋" w:cs="仿宋"/>
          <w:szCs w:val="28"/>
        </w:rPr>
      </w:pPr>
      <w:r>
        <w:drawing>
          <wp:inline distT="0" distB="0" distL="0" distR="0">
            <wp:extent cx="4998720" cy="2795270"/>
            <wp:effectExtent l="0" t="0" r="0" b="0"/>
            <wp:docPr id="32"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像13"/>
                    <pic:cNvPicPr>
                      <a:picLocks noChangeAspect="1" noChangeArrowheads="1"/>
                    </pic:cNvPicPr>
                  </pic:nvPicPr>
                  <pic:blipFill>
                    <a:blip r:embed="rId28"/>
                    <a:srcRect l="-7" t="-12" r="-7" b="-12"/>
                    <a:stretch>
                      <a:fillRect/>
                    </a:stretch>
                  </pic:blipFill>
                  <pic:spPr>
                    <a:xfrm>
                      <a:off x="0" y="0"/>
                      <a:ext cx="4998720" cy="2795270"/>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启动虚拟仿真软件示意图</w:t>
      </w:r>
    </w:p>
    <w:p>
      <w:pPr>
        <w:spacing w:line="360" w:lineRule="auto"/>
        <w:rPr>
          <w:rFonts w:ascii="仿宋_GB2312;仿宋" w:hAnsi="仿宋_GB2312;仿宋" w:eastAsia="仿宋_GB2312;仿宋" w:cs="仿宋"/>
          <w:szCs w:val="28"/>
        </w:rPr>
      </w:pPr>
    </w:p>
    <w:p>
      <w:pPr>
        <w:ind w:firstLine="560" w:firstLineChars="200"/>
      </w:pPr>
      <w:r>
        <w:t>6.5.4数据管理</w:t>
      </w:r>
    </w:p>
    <w:p>
      <w:pPr>
        <w:ind w:firstLine="560" w:firstLineChars="200"/>
      </w:pPr>
      <w:r>
        <w:t>首先，支持虚拟仿真软件中的每一步操作自动记录并统计分数，操作完毕自动输出上传实验培训成绩。其次，支持利用大数据的聚合与管理，针对个体、部门、企业不同对象进行及时评估和多维度评价。</w:t>
      </w:r>
    </w:p>
    <w:p>
      <w:pPr>
        <w:spacing w:line="360" w:lineRule="auto"/>
        <w:rPr>
          <w:rFonts w:ascii="仿宋_GB2312;仿宋" w:hAnsi="仿宋_GB2312;仿宋" w:eastAsia="仿宋_GB2312;仿宋" w:cs="仿宋"/>
          <w:szCs w:val="28"/>
        </w:rPr>
      </w:pPr>
      <w:r>
        <w:drawing>
          <wp:inline distT="0" distB="0" distL="0" distR="0">
            <wp:extent cx="5149850" cy="2911475"/>
            <wp:effectExtent l="0" t="0" r="0" b="0"/>
            <wp:docPr id="33"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像14"/>
                    <pic:cNvPicPr>
                      <a:picLocks noChangeAspect="1" noChangeArrowheads="1"/>
                    </pic:cNvPicPr>
                  </pic:nvPicPr>
                  <pic:blipFill>
                    <a:blip r:embed="rId29"/>
                    <a:srcRect l="-15" t="-30" r="11551" b="-30"/>
                    <a:stretch>
                      <a:fillRect/>
                    </a:stretch>
                  </pic:blipFill>
                  <pic:spPr>
                    <a:xfrm>
                      <a:off x="0" y="0"/>
                      <a:ext cx="5149850" cy="2911475"/>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多维度分析情况示意图</w:t>
      </w:r>
    </w:p>
    <w:p>
      <w:pPr>
        <w:spacing w:line="360" w:lineRule="auto"/>
        <w:rPr>
          <w:rFonts w:ascii="仿宋_GB2312;仿宋" w:hAnsi="仿宋_GB2312;仿宋" w:eastAsia="仿宋_GB2312;仿宋" w:cs="仿宋"/>
          <w:szCs w:val="28"/>
        </w:rPr>
      </w:pPr>
    </w:p>
    <w:p>
      <w:pPr>
        <w:ind w:firstLine="560" w:firstLineChars="200"/>
      </w:pPr>
      <w:r>
        <w:t>6.5.5大数据分析</w:t>
      </w:r>
    </w:p>
    <w:p>
      <w:pPr>
        <w:ind w:firstLine="560" w:firstLineChars="200"/>
      </w:pPr>
      <w:r>
        <w:t>拥有在线学习、在线考试、成绩管理、教学管控、教学互动、效果评估等功能，支持“翻转课堂”、“在线+现场”（O2O）、3A等创新教学模式，以及对教学过程的“闭环控制”和教学效果的“形成性评价”，使教学活动更丰富、教学管理更高效、效果评估更科学，实现教学活动、教学评估的全面升级。</w:t>
      </w:r>
    </w:p>
    <w:p>
      <w:pPr>
        <w:spacing w:line="360" w:lineRule="auto"/>
        <w:rPr>
          <w:rFonts w:ascii="仿宋_GB2312;仿宋" w:hAnsi="仿宋_GB2312;仿宋" w:eastAsia="仿宋_GB2312;仿宋" w:cs="仿宋"/>
          <w:szCs w:val="28"/>
        </w:rPr>
      </w:pPr>
      <w:r>
        <w:drawing>
          <wp:inline distT="0" distB="0" distL="0" distR="0">
            <wp:extent cx="5270500" cy="3308350"/>
            <wp:effectExtent l="0" t="0" r="0" b="0"/>
            <wp:docPr id="34"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15"/>
                    <pic:cNvPicPr>
                      <a:picLocks noChangeAspect="1" noChangeArrowheads="1"/>
                    </pic:cNvPicPr>
                  </pic:nvPicPr>
                  <pic:blipFill>
                    <a:blip r:embed="rId30"/>
                    <a:srcRect l="1719" t="-11" r="-8" b="16348"/>
                    <a:stretch>
                      <a:fillRect/>
                    </a:stretch>
                  </pic:blipFill>
                  <pic:spPr>
                    <a:xfrm>
                      <a:off x="0" y="0"/>
                      <a:ext cx="5270500" cy="3308350"/>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信息化教学数据中心</w:t>
      </w:r>
    </w:p>
    <w:p>
      <w:pPr>
        <w:spacing w:line="360" w:lineRule="auto"/>
        <w:rPr>
          <w:rFonts w:ascii="仿宋_GB2312;仿宋" w:hAnsi="仿宋_GB2312;仿宋" w:eastAsia="仿宋_GB2312;仿宋" w:cs="仿宋"/>
          <w:szCs w:val="28"/>
        </w:rPr>
      </w:pPr>
    </w:p>
    <w:p>
      <w:pPr>
        <w:ind w:firstLine="560" w:firstLineChars="200"/>
      </w:pPr>
      <w:r>
        <w:t>6.5.6产业化管理应用</w:t>
      </w:r>
    </w:p>
    <w:p>
      <w:pPr>
        <w:ind w:firstLine="560" w:firstLineChars="200"/>
      </w:pPr>
      <w:r>
        <w:t>课程广场：课程广场模块包括课程中心、课件库、试题库。 其作用包括：集中管理企业内部的课件、试题及课程；建立起标准、规范的培训课程；对外（包括职业学校）开展培训与认证服务，为企业培养后备力量。 </w:t>
      </w:r>
    </w:p>
    <w:p>
      <w:pPr>
        <w:ind w:firstLine="560" w:firstLineChars="200"/>
      </w:pPr>
      <w:r>
        <w:t>证书系统：教师可设置本课程关联电子证书，课程证书是对学员课程学习并掌握其中知识的一种认可，也可作为企业内训后，筛选培训合格人才的一个标准。证书系统的核心功能包括：证书模板管理、证书获取条件设置、证书发放、证书查询等。 </w:t>
      </w:r>
    </w:p>
    <w:p>
      <w:pPr>
        <w:spacing w:line="360" w:lineRule="auto"/>
        <w:rPr>
          <w:rFonts w:ascii="仿宋_GB2312;仿宋" w:hAnsi="仿宋_GB2312;仿宋" w:eastAsia="仿宋_GB2312;仿宋" w:cs="仿宋"/>
          <w:szCs w:val="28"/>
        </w:rPr>
      </w:pPr>
      <w:r>
        <w:drawing>
          <wp:inline distT="0" distB="0" distL="0" distR="0">
            <wp:extent cx="5371465" cy="2785110"/>
            <wp:effectExtent l="0" t="0" r="0" b="0"/>
            <wp:docPr id="3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pic:cNvPicPr>
                      <a:picLocks noChangeAspect="1" noChangeArrowheads="1"/>
                    </pic:cNvPicPr>
                  </pic:nvPicPr>
                  <pic:blipFill>
                    <a:blip r:embed="rId31"/>
                    <a:srcRect l="-14" t="-28" r="-14" b="-28"/>
                    <a:stretch>
                      <a:fillRect/>
                    </a:stretch>
                  </pic:blipFill>
                  <pic:spPr>
                    <a:xfrm>
                      <a:off x="0" y="0"/>
                      <a:ext cx="5371465" cy="2785110"/>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证书创建示意图</w:t>
      </w:r>
    </w:p>
    <w:p>
      <w:pPr>
        <w:spacing w:line="360" w:lineRule="auto"/>
        <w:rPr>
          <w:rFonts w:ascii="仿宋_GB2312;仿宋" w:hAnsi="仿宋_GB2312;仿宋" w:eastAsia="仿宋_GB2312;仿宋" w:cs="仿宋"/>
          <w:szCs w:val="28"/>
        </w:rPr>
      </w:pPr>
    </w:p>
    <w:p>
      <w:pPr>
        <w:ind w:firstLine="560" w:firstLineChars="200"/>
      </w:pPr>
      <w:r>
        <w:t>6.5.7国际化管理应用</w:t>
      </w:r>
    </w:p>
    <w:p>
      <w:pPr>
        <w:ind w:firstLine="560" w:firstLineChars="200"/>
      </w:pPr>
      <w:r>
        <w:t>1）语言 ：Android版、IOS版、微信公众号版、PC网页版及手机端网页版均支持中、英语言。 </w:t>
      </w:r>
    </w:p>
    <w:p>
      <w:pPr>
        <w:ind w:firstLine="560" w:firstLineChars="200"/>
      </w:pPr>
      <w:r>
        <w:t>2）时区：教师在设置教学任务时可指定不同国家或地区学生的执行时区，且支持多时区国家采用多时区或单一时区国家等多种情况。避免全球范围内因时差不同导致的教学实训中断情况。</w:t>
      </w:r>
    </w:p>
    <w:p>
      <w:pPr>
        <w:ind w:firstLine="560" w:firstLineChars="200"/>
      </w:pPr>
      <w:r>
        <w:t>3）地图：考勤等任务中需要gps信息。国内支持高德地图，国外则采用高德地图国际版或google地图。 </w:t>
      </w:r>
    </w:p>
    <w:p>
      <w:pPr>
        <w:spacing w:line="360" w:lineRule="auto"/>
        <w:rPr>
          <w:rFonts w:ascii="仿宋_GB2312;仿宋" w:hAnsi="仿宋_GB2312;仿宋" w:eastAsia="仿宋_GB2312;仿宋" w:cs="仿宋"/>
          <w:szCs w:val="28"/>
        </w:rPr>
      </w:pPr>
      <w:r>
        <w:drawing>
          <wp:inline distT="0" distB="0" distL="0" distR="0">
            <wp:extent cx="5287010" cy="2914650"/>
            <wp:effectExtent l="0" t="0" r="0"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32"/>
                    <a:srcRect l="-4" t="-9" r="-4" b="-9"/>
                    <a:stretch>
                      <a:fillRect/>
                    </a:stretch>
                  </pic:blipFill>
                  <pic:spPr>
                    <a:xfrm>
                      <a:off x="0" y="0"/>
                      <a:ext cx="5287010" cy="2914650"/>
                    </a:xfrm>
                    <a:prstGeom prst="rect">
                      <a:avLst/>
                    </a:prstGeom>
                  </pic:spPr>
                </pic:pic>
              </a:graphicData>
            </a:graphic>
          </wp:inline>
        </w:drawing>
      </w:r>
    </w:p>
    <w:p>
      <w:pPr>
        <w:spacing w:line="360" w:lineRule="auto"/>
        <w:jc w:val="center"/>
        <w:rPr>
          <w:rFonts w:ascii="仿宋_GB2312;仿宋" w:hAnsi="仿宋_GB2312;仿宋" w:eastAsia="仿宋_GB2312;仿宋" w:cs="仿宋"/>
          <w:szCs w:val="28"/>
        </w:rPr>
      </w:pPr>
      <w:r>
        <w:rPr>
          <w:rFonts w:ascii="仿宋_GB2312;仿宋" w:hAnsi="仿宋_GB2312;仿宋" w:eastAsia="仿宋_GB2312;仿宋" w:cs="仿宋"/>
          <w:szCs w:val="28"/>
        </w:rPr>
        <w:t>国际化时区设置示意</w:t>
      </w:r>
      <w:bookmarkStart w:id="20" w:name="__RefHeading___Toc7436"/>
      <w:bookmarkEnd w:id="20"/>
    </w:p>
    <w:p>
      <w:r>
        <w:t> </w:t>
      </w:r>
    </w:p>
    <w:p>
      <w:pPr>
        <w:pStyle w:val="3"/>
        <w:ind w:firstLine="643" w:firstLineChars="200"/>
      </w:pPr>
      <w:bookmarkStart w:id="21" w:name="__RefHeading___Toc994"/>
      <w:bookmarkEnd w:id="21"/>
      <w:r>
        <w:t>七、建设计划</w:t>
      </w:r>
    </w:p>
    <w:p>
      <w:pPr>
        <w:ind w:firstLine="560" w:firstLineChars="200"/>
      </w:pPr>
      <w:r>
        <w:t>本项目内容工作量大，计划</w:t>
      </w:r>
      <w:r>
        <w:rPr>
          <w:rFonts w:hint="eastAsia"/>
        </w:rPr>
        <w:t>于2</w:t>
      </w:r>
      <w:r>
        <w:t>022</w:t>
      </w:r>
      <w:r>
        <w:rPr>
          <w:rFonts w:hint="eastAsia"/>
        </w:rPr>
        <w:t>－2023年</w:t>
      </w:r>
      <w:r>
        <w:t>实施建设，各阶段具体内容如下：</w:t>
      </w:r>
    </w:p>
    <w:p>
      <w:pPr>
        <w:ind w:firstLine="560" w:firstLineChars="200"/>
      </w:pPr>
      <w:r>
        <w:t>7.1前期准备工作（</w:t>
      </w:r>
      <w:r>
        <w:rPr>
          <w:rFonts w:hint="eastAsia"/>
        </w:rPr>
        <w:t>3</w:t>
      </w:r>
      <w:r>
        <w:t>个月）：主要是项目建设需求调研、方案论证、立项、招投标工作等。</w:t>
      </w:r>
    </w:p>
    <w:p>
      <w:pPr>
        <w:ind w:firstLine="560" w:firstLineChars="200"/>
      </w:pPr>
      <w:r>
        <w:t>7.2实训基地建设（</w:t>
      </w:r>
      <w:r>
        <w:rPr>
          <w:rFonts w:hint="eastAsia"/>
        </w:rPr>
        <w:t>6</w:t>
      </w:r>
      <w:r>
        <w:t>个月）：包括场地装修、墙面工程、水电工程、设备采购、安装调试等。</w:t>
      </w:r>
    </w:p>
    <w:p>
      <w:pPr>
        <w:ind w:firstLine="560" w:firstLineChars="200"/>
      </w:pPr>
      <w:r>
        <w:t>7.3项目数字化资源开发（</w:t>
      </w:r>
      <w:r>
        <w:rPr>
          <w:rFonts w:hint="eastAsia"/>
        </w:rPr>
        <w:t>10</w:t>
      </w:r>
      <w:r>
        <w:t>个月）：主要是VR/AR软件资源</w:t>
      </w:r>
      <w:r>
        <w:rPr>
          <w:rFonts w:hint="eastAsia"/>
        </w:rPr>
        <w:t>、</w:t>
      </w:r>
      <w:r>
        <w:t>专业课程资源以及共享管理平台。</w:t>
      </w:r>
    </w:p>
    <w:p>
      <w:pPr>
        <w:ind w:firstLine="560" w:firstLineChars="200"/>
      </w:pPr>
      <w:r>
        <w:t>7.4项目推广及应用（</w:t>
      </w:r>
      <w:r>
        <w:rPr>
          <w:rFonts w:hint="eastAsia"/>
        </w:rPr>
        <w:t>3</w:t>
      </w:r>
      <w:r>
        <w:t>个月）：包括项目建设数字化资源在专业实训中的应用、师生创新实践项目的开展、建设成果及教学实训模式面向校内外的推广等内容。</w:t>
      </w:r>
    </w:p>
    <w:p>
      <w:pPr>
        <w:ind w:firstLine="560" w:firstLineChars="200"/>
      </w:pPr>
      <w:r>
        <w:t>7.5项目总结及验收（</w:t>
      </w:r>
      <w:r>
        <w:rPr>
          <w:rFonts w:hint="eastAsia"/>
        </w:rPr>
        <w:t>2</w:t>
      </w:r>
      <w:r>
        <w:t>个月）：包括组织成果鉴定会、整理递交相关总结验收材料等。</w:t>
      </w:r>
    </w:p>
    <w:p>
      <w:pPr>
        <w:pStyle w:val="3"/>
        <w:ind w:firstLine="643" w:firstLineChars="200"/>
      </w:pPr>
      <w:bookmarkStart w:id="22" w:name="__RefHeading___Toc15053"/>
      <w:bookmarkEnd w:id="22"/>
      <w:r>
        <w:t>八、预期成效</w:t>
      </w:r>
    </w:p>
    <w:p>
      <w:pPr>
        <w:ind w:firstLine="560" w:firstLineChars="200"/>
      </w:pPr>
      <w:r>
        <w:t>8.1构建基于共享与管理系统的理虚实全场景覆盖的信息化教学实训新模式，全面提升我校加工制造类专业的资源建设水平和教学实训效果。项目完成后，在学校各专业开展教学应用，并向外辐射，面向其他高校以交流会、讲座等方式推广项目建设经验与成果。预期项目完成后当年可覆盖受益学校</w:t>
      </w:r>
      <w:r>
        <w:rPr>
          <w:rFonts w:hint="eastAsia"/>
        </w:rPr>
        <w:t>2</w:t>
      </w:r>
      <w:r>
        <w:t>家以上，受益学生3000人以上。</w:t>
      </w:r>
    </w:p>
    <w:p>
      <w:pPr>
        <w:ind w:firstLine="560" w:firstLineChars="200"/>
      </w:pPr>
      <w:r>
        <w:t>8.2推动我校加工制造类专业教学改革和教学研究建设进程。预计项目完成后发表教改、课改论文不少于2篇，老师参与教师教学技能大赛，学生参加创新创业大赛等赛项并获奖不少于3项。</w:t>
      </w:r>
    </w:p>
    <w:p>
      <w:pPr>
        <w:pStyle w:val="2"/>
        <w:ind w:firstLine="560" w:firstLineChars="200"/>
        <w:rPr>
          <w:b w:val="0"/>
        </w:rPr>
      </w:pPr>
      <w:r>
        <w:rPr>
          <w:rFonts w:hint="eastAsia"/>
          <w:b w:val="0"/>
        </w:rPr>
        <w:t>8.3</w:t>
      </w:r>
      <w:r>
        <w:rPr>
          <w:b w:val="0"/>
        </w:rPr>
        <w:t>向社会企业以及同类学校推广本项目建设成果，用于改善其教学实训。</w:t>
      </w:r>
    </w:p>
    <w:p>
      <w:pPr>
        <w:pStyle w:val="3"/>
        <w:ind w:firstLine="643" w:firstLineChars="200"/>
      </w:pPr>
      <w:bookmarkStart w:id="23" w:name="__RefHeading___Toc13303"/>
      <w:bookmarkEnd w:id="23"/>
      <w:r>
        <w:t>九、保障措施</w:t>
      </w:r>
    </w:p>
    <w:p>
      <w:pPr>
        <w:pStyle w:val="4"/>
        <w:ind w:firstLine="562" w:firstLineChars="200"/>
      </w:pPr>
      <w:bookmarkStart w:id="24" w:name="__RefHeading___Toc13863"/>
      <w:bookmarkEnd w:id="24"/>
      <w:r>
        <w:t>9.1组织保障</w:t>
      </w:r>
    </w:p>
    <w:p>
      <w:pPr>
        <w:ind w:firstLine="560" w:firstLineChars="200"/>
      </w:pPr>
      <w:r>
        <w:t>9.1.1项目建设领导小组</w:t>
      </w:r>
    </w:p>
    <w:p>
      <w:pPr>
        <w:ind w:firstLine="560" w:firstLineChars="200"/>
      </w:pPr>
      <w:r>
        <w:t>成立“职业教育示范性虚拟仿真实训基地”项目建设领导小组（以下称“项目建设领导小组”），由校长担任组长。</w:t>
      </w:r>
    </w:p>
    <w:p>
      <w:pPr>
        <w:ind w:firstLine="560" w:firstLineChars="200"/>
      </w:pPr>
      <w:r>
        <w:t>组</w:t>
      </w:r>
      <w:r>
        <w:rPr>
          <w:rFonts w:eastAsia="Times New Roman"/>
        </w:rPr>
        <w:t xml:space="preserve">  </w:t>
      </w:r>
      <w:r>
        <w:t>长：李雄伟</w:t>
      </w:r>
    </w:p>
    <w:p>
      <w:pPr>
        <w:ind w:firstLine="560" w:firstLineChars="200"/>
      </w:pPr>
      <w:r>
        <w:t>副组长：罗捷、叶恩胜、刘翠梅、曾永亮</w:t>
      </w:r>
    </w:p>
    <w:p>
      <w:pPr>
        <w:ind w:firstLine="560" w:firstLineChars="200"/>
      </w:pPr>
      <w:r>
        <w:t>成</w:t>
      </w:r>
      <w:r>
        <w:rPr>
          <w:rFonts w:eastAsia="Times New Roman"/>
        </w:rPr>
        <w:t xml:space="preserve">  </w:t>
      </w:r>
      <w:r>
        <w:t>员：黄常练、张萧、邓小文、邱敏、潘楠、谢小青、廖映新、欧阳磊、钟燕龙、黄华添、匡洪文、王伟、</w:t>
      </w:r>
      <w:r>
        <w:rPr>
          <w:rFonts w:hint="eastAsia"/>
        </w:rPr>
        <w:t>黄锦志</w:t>
      </w:r>
      <w:r>
        <w:t>、何碧海、王礼刚</w:t>
      </w:r>
    </w:p>
    <w:p>
      <w:pPr>
        <w:ind w:firstLine="560" w:firstLineChars="200"/>
      </w:pPr>
      <w:r>
        <w:t>项目建设工作领导小组是项目建设的领导和组织机构，全面负责项目建设工作的组织领导，其工作职责是：</w:t>
      </w:r>
    </w:p>
    <w:p>
      <w:pPr>
        <w:ind w:firstLine="560" w:firstLineChars="200"/>
      </w:pPr>
      <w:r>
        <w:t>1）组织项目建设工作实施方案的制定，对项目建设目标、任务、内容、资金筹措、经费分配及人员调配等重大事项进行审定和决策；</w:t>
      </w:r>
    </w:p>
    <w:p>
      <w:pPr>
        <w:ind w:firstLine="560" w:firstLineChars="200"/>
      </w:pPr>
      <w:r>
        <w:t>2）向省教育厅及学校争取对项目建设的支持；</w:t>
      </w:r>
    </w:p>
    <w:p>
      <w:pPr>
        <w:ind w:firstLine="560" w:firstLineChars="200"/>
      </w:pPr>
      <w:r>
        <w:t>3）组织、指导、检查、监督项目的建设，组织定期自查，及时协调、解决建设过程中的问题；</w:t>
      </w:r>
    </w:p>
    <w:p>
      <w:pPr>
        <w:ind w:firstLine="560" w:firstLineChars="200"/>
      </w:pPr>
      <w:r>
        <w:t>4）统筹落实项目的建设资金，对建设资金的使用进行监督，确保专项资金使用效益；</w:t>
      </w:r>
    </w:p>
    <w:p>
      <w:pPr>
        <w:ind w:firstLine="560" w:firstLineChars="200"/>
      </w:pPr>
      <w:r>
        <w:t>5）研究制订保证项目顺利完成的各项政策及措施，调配人力、财力、物力，为建设工作提供基础保障；</w:t>
      </w:r>
    </w:p>
    <w:p>
      <w:r>
        <w:t>领导小组下设项目建设办公室，办公室设在学校综合楼。</w:t>
      </w:r>
    </w:p>
    <w:p>
      <w:pPr>
        <w:ind w:firstLine="560" w:firstLineChars="200"/>
      </w:pPr>
      <w:r>
        <w:t>9.1.2项目建设办公室</w:t>
      </w:r>
    </w:p>
    <w:p>
      <w:pPr>
        <w:ind w:firstLine="560" w:firstLineChars="200"/>
      </w:pPr>
      <w:r>
        <w:t>主任：罗捷</w:t>
      </w:r>
    </w:p>
    <w:p>
      <w:pPr>
        <w:ind w:firstLine="560" w:firstLineChars="200"/>
      </w:pPr>
      <w:r>
        <w:t>成员：匡洪文、</w:t>
      </w:r>
      <w:r>
        <w:rPr>
          <w:rFonts w:hint="eastAsia"/>
        </w:rPr>
        <w:t>刘金胜</w:t>
      </w:r>
      <w:r>
        <w:t>、王伟、</w:t>
      </w:r>
      <w:r>
        <w:rPr>
          <w:rFonts w:hint="eastAsia"/>
        </w:rPr>
        <w:t>黄锦志</w:t>
      </w:r>
      <w:r>
        <w:t>、何碧海、王礼刚、缪懋然、刘舒华</w:t>
      </w:r>
    </w:p>
    <w:p>
      <w:pPr>
        <w:ind w:firstLine="560" w:firstLineChars="200"/>
      </w:pPr>
      <w:r>
        <w:t>项目建设工作办公室是项目建设领导小组的日常工作机构，负责项目建设工作日常组织、布置、协调、检查、督促，其工作职责是：</w:t>
      </w:r>
    </w:p>
    <w:p>
      <w:pPr>
        <w:ind w:firstLine="560" w:firstLineChars="200"/>
      </w:pPr>
      <w:r>
        <w:t>1）负责制定项目建设实施方案及各阶段工作计划的落实；</w:t>
      </w:r>
    </w:p>
    <w:p>
      <w:pPr>
        <w:ind w:firstLine="560" w:firstLineChars="200"/>
      </w:pPr>
      <w:r>
        <w:t>2）负责创建材料的审核、指导和质量把关；</w:t>
      </w:r>
    </w:p>
    <w:p>
      <w:pPr>
        <w:ind w:firstLine="560" w:firstLineChars="200"/>
      </w:pPr>
      <w:r>
        <w:t>3）负责解决创建过程中出现的一般问题和日常事务性工作。</w:t>
      </w:r>
    </w:p>
    <w:p>
      <w:pPr>
        <w:ind w:firstLine="560" w:firstLineChars="200"/>
      </w:pPr>
      <w:r>
        <w:t>3.项目建设财务小组</w:t>
      </w:r>
    </w:p>
    <w:p>
      <w:pPr>
        <w:ind w:firstLine="560" w:firstLineChars="200"/>
      </w:pPr>
      <w:r>
        <w:t>组</w:t>
      </w:r>
      <w:r>
        <w:rPr>
          <w:rFonts w:eastAsia="Times New Roman"/>
        </w:rPr>
        <w:t xml:space="preserve">  </w:t>
      </w:r>
      <w:r>
        <w:t>长：叶恩胜</w:t>
      </w:r>
    </w:p>
    <w:p>
      <w:pPr>
        <w:ind w:firstLine="560" w:firstLineChars="200"/>
      </w:pPr>
      <w:r>
        <w:t>成</w:t>
      </w:r>
      <w:r>
        <w:rPr>
          <w:rFonts w:eastAsia="Times New Roman"/>
        </w:rPr>
        <w:t xml:space="preserve">  </w:t>
      </w:r>
      <w:r>
        <w:t>员：欧阳磊、黄衍南、财务人员</w:t>
      </w:r>
    </w:p>
    <w:p>
      <w:pPr>
        <w:ind w:firstLine="560" w:firstLineChars="200"/>
      </w:pPr>
      <w:r>
        <w:t>主要职责：筹措资金，合理调配，服务建设，统一审批；规范财务管理，保障项目建设质量、进度和资金安全。</w:t>
      </w:r>
    </w:p>
    <w:p>
      <w:pPr>
        <w:pStyle w:val="4"/>
        <w:ind w:firstLine="562" w:firstLineChars="200"/>
      </w:pPr>
      <w:bookmarkStart w:id="25" w:name="__RefHeading___Toc20540"/>
      <w:bookmarkEnd w:id="25"/>
      <w:r>
        <w:t>9.2制度保障</w:t>
      </w:r>
    </w:p>
    <w:p>
      <w:pPr>
        <w:ind w:firstLine="560" w:firstLineChars="200"/>
      </w:pPr>
      <w:r>
        <w:t>9.2.1建立项目建设运行机制</w:t>
      </w:r>
    </w:p>
    <w:p>
      <w:pPr>
        <w:ind w:firstLine="560" w:firstLineChars="200"/>
      </w:pPr>
      <w:r>
        <w:t>建立健全相关管理制度，包括重点项目建设管理办法、评价与考核办法、专项资金管理办法等系列制度，做到目标明确，责任到人。建立健全项目监控机制，成立项目监督组，对项目建设计划的实施实行全过程的监督和检查，确保建设质量。建立健全绩效考核制度、责任追究制度等，将项目完成情况作为考核相关部门和责任人的主要指标。</w:t>
      </w:r>
    </w:p>
    <w:p>
      <w:pPr>
        <w:ind w:firstLine="560" w:firstLineChars="200"/>
      </w:pPr>
      <w:r>
        <w:t>9.2.2健全项目建设管理机制</w:t>
      </w:r>
    </w:p>
    <w:p>
      <w:pPr>
        <w:ind w:firstLine="560" w:firstLineChars="200"/>
      </w:pPr>
      <w:r>
        <w:t>加强管理人员培训，组织项目建设有关人员学习基地建设的有关文件、制度、专业知识等；加强项目的计划和预算；加强项目的质量控制，合理配置项目资源，降低项目风险。使项目建设人员明确职责，按照项目建设实施进度高质量完成各项工作，确保项目的顺利实施。</w:t>
      </w:r>
    </w:p>
    <w:p>
      <w:pPr>
        <w:pStyle w:val="4"/>
        <w:ind w:firstLine="562" w:firstLineChars="200"/>
      </w:pPr>
      <w:bookmarkStart w:id="26" w:name="__RefHeading___Toc8960"/>
      <w:bookmarkEnd w:id="26"/>
      <w:r>
        <w:t>9.3过程管理</w:t>
      </w:r>
    </w:p>
    <w:p>
      <w:pPr>
        <w:ind w:firstLine="560" w:firstLineChars="200"/>
      </w:pPr>
      <w:r>
        <w:t>项目建设领导小组对建设项目实施全过程管理。每季度召开工作例会，项目负责人汇报建设进度，领导小组总结建设过程中的经验，布置下一阶段建设任务，进行信息沟通和交流，保证建设项目的进度和质量。项目建设办公室同步收集并发布项目建设动态信息。建立项目建设监控制度，成立项目建设监督小组，对项目建设进行日常监督检查，保证项目质量、进度和资金安全。项目负责人每年向项目建设工作领导小组提交绩效报告，根据建设成效对项目负责人及项目组成员进行奖励或处罚。</w:t>
      </w:r>
    </w:p>
    <w:p>
      <w:pPr>
        <w:pStyle w:val="4"/>
        <w:ind w:firstLine="562" w:firstLineChars="200"/>
      </w:pPr>
      <w:bookmarkStart w:id="27" w:name="__RefHeading___Toc32473"/>
      <w:bookmarkEnd w:id="27"/>
      <w:r>
        <w:t>9.4经费保障</w:t>
      </w:r>
    </w:p>
    <w:p>
      <w:pPr>
        <w:ind w:firstLine="560" w:firstLineChars="200"/>
      </w:pPr>
      <w:r>
        <w:t>9.4.1多元化筹措资金，确保建设资金到位</w:t>
      </w:r>
    </w:p>
    <w:p>
      <w:pPr>
        <w:ind w:firstLine="560" w:firstLineChars="200"/>
      </w:pPr>
      <w:r>
        <w:t>项目建设通过中央、省、市各级政府主管部门配套专项资金筹措建设经费。到2023年，基地项目建设经费总投入达到</w:t>
      </w:r>
      <w:r>
        <w:rPr>
          <w:rFonts w:hint="eastAsia"/>
        </w:rPr>
        <w:t>2</w:t>
      </w:r>
      <w:r>
        <w:t>00万元。</w:t>
      </w:r>
    </w:p>
    <w:p>
      <w:pPr>
        <w:ind w:firstLine="560" w:firstLineChars="200"/>
      </w:pPr>
      <w:r>
        <w:t>9.4.2建立学校重点建设项目财务管理制度，规范资金使用</w:t>
      </w:r>
    </w:p>
    <w:p>
      <w:r>
        <w:t>认真执行学校重点建设项目专项资金管理办法，严格预算、支付、决算过程的管理，实行专款专用、单独核算。项目资金坚持“集中使用、突出重点，总体规划、分年实施，项目管理、绩效考评”的管理原则。项目建设领导小组负责项目资金的组织落实和统筹安排，学校计划财务处在项目建设领导小组的领导下对项目资金进行统一管理，实施月报、季报信息公布制度，及时将项目支出按不同资金来源渠道，按省财政厅和教育厅有关规定向上级主管部门编制决算报告，项目建设监督小组对建设目标的实施、资金的投向及年度的安排调度实行全过程监督。</w:t>
      </w:r>
    </w:p>
    <w:p>
      <w:pPr>
        <w:pStyle w:val="3"/>
        <w:ind w:firstLine="643" w:firstLineChars="200"/>
      </w:pPr>
      <w:bookmarkStart w:id="28" w:name="__RefHeading___Toc2386"/>
      <w:bookmarkEnd w:id="28"/>
      <w:r>
        <w:t>十、经费预算</w:t>
      </w:r>
    </w:p>
    <w:tbl>
      <w:tblPr>
        <w:tblStyle w:val="9"/>
        <w:tblW w:w="4950" w:type="pct"/>
        <w:tblInd w:w="-15" w:type="dxa"/>
        <w:tblLayout w:type="fixed"/>
        <w:tblCellMar>
          <w:top w:w="0" w:type="dxa"/>
          <w:left w:w="108" w:type="dxa"/>
          <w:bottom w:w="0" w:type="dxa"/>
          <w:right w:w="108" w:type="dxa"/>
        </w:tblCellMar>
      </w:tblPr>
      <w:tblGrid>
        <w:gridCol w:w="2311"/>
        <w:gridCol w:w="4212"/>
        <w:gridCol w:w="1588"/>
        <w:gridCol w:w="1039"/>
      </w:tblGrid>
      <w:tr>
        <w:tblPrEx>
          <w:tblCellMar>
            <w:top w:w="0" w:type="dxa"/>
            <w:left w:w="108" w:type="dxa"/>
            <w:bottom w:w="0" w:type="dxa"/>
            <w:right w:w="108" w:type="dxa"/>
          </w:tblCellMar>
        </w:tblPrEx>
        <w:trPr>
          <w:trHeight w:val="375" w:hRule="atLeast"/>
        </w:trPr>
        <w:tc>
          <w:tcPr>
            <w:tcW w:w="2311" w:type="dxa"/>
            <w:tcBorders>
              <w:top w:val="single" w:color="000000" w:sz="12" w:space="0"/>
              <w:left w:val="single" w:color="000000" w:sz="12" w:space="0"/>
              <w:bottom w:val="single" w:color="000000" w:sz="4" w:space="0"/>
              <w:right w:val="single" w:color="000000" w:sz="4" w:space="0"/>
            </w:tcBorders>
          </w:tcPr>
          <w:p>
            <w:pPr>
              <w:jc w:val="center"/>
              <w:rPr>
                <w:sz w:val="24"/>
                <w:szCs w:val="24"/>
              </w:rPr>
            </w:pPr>
            <w:r>
              <w:rPr>
                <w:sz w:val="24"/>
                <w:szCs w:val="24"/>
              </w:rPr>
              <w:t>项目名称</w:t>
            </w:r>
          </w:p>
        </w:tc>
        <w:tc>
          <w:tcPr>
            <w:tcW w:w="4212" w:type="dxa"/>
            <w:tcBorders>
              <w:top w:val="single" w:color="000000" w:sz="12" w:space="0"/>
              <w:left w:val="single" w:color="000000" w:sz="4" w:space="0"/>
              <w:bottom w:val="single" w:color="000000" w:sz="4" w:space="0"/>
              <w:right w:val="single" w:color="000000" w:sz="4" w:space="0"/>
            </w:tcBorders>
          </w:tcPr>
          <w:p>
            <w:pPr>
              <w:jc w:val="center"/>
              <w:rPr>
                <w:sz w:val="24"/>
                <w:szCs w:val="24"/>
              </w:rPr>
            </w:pPr>
            <w:r>
              <w:rPr>
                <w:sz w:val="24"/>
                <w:szCs w:val="24"/>
              </w:rPr>
              <w:t>项目内容</w:t>
            </w:r>
          </w:p>
        </w:tc>
        <w:tc>
          <w:tcPr>
            <w:tcW w:w="1588" w:type="dxa"/>
            <w:tcBorders>
              <w:top w:val="single" w:color="000000" w:sz="12" w:space="0"/>
              <w:left w:val="single" w:color="000000" w:sz="4" w:space="0"/>
              <w:bottom w:val="single" w:color="000000" w:sz="4" w:space="0"/>
              <w:right w:val="single" w:color="000000" w:sz="4" w:space="0"/>
            </w:tcBorders>
          </w:tcPr>
          <w:p>
            <w:pPr>
              <w:jc w:val="center"/>
              <w:rPr>
                <w:sz w:val="24"/>
                <w:szCs w:val="24"/>
              </w:rPr>
            </w:pPr>
            <w:r>
              <w:rPr>
                <w:sz w:val="24"/>
                <w:szCs w:val="24"/>
              </w:rPr>
              <w:t>金额（万元人民币）</w:t>
            </w:r>
          </w:p>
        </w:tc>
        <w:tc>
          <w:tcPr>
            <w:tcW w:w="1039" w:type="dxa"/>
            <w:tcBorders>
              <w:top w:val="single" w:color="000000" w:sz="12" w:space="0"/>
              <w:left w:val="single" w:color="000000" w:sz="4" w:space="0"/>
              <w:bottom w:val="single" w:color="000000" w:sz="4" w:space="0"/>
              <w:right w:val="single" w:color="000000" w:sz="12" w:space="0"/>
            </w:tcBorders>
          </w:tcPr>
          <w:p>
            <w:pPr>
              <w:jc w:val="center"/>
              <w:rPr>
                <w:sz w:val="24"/>
                <w:szCs w:val="24"/>
              </w:rPr>
            </w:pPr>
            <w:r>
              <w:rPr>
                <w:sz w:val="24"/>
                <w:szCs w:val="24"/>
              </w:rPr>
              <w:t>说明</w:t>
            </w:r>
          </w:p>
        </w:tc>
      </w:tr>
      <w:tr>
        <w:tblPrEx>
          <w:tblCellMar>
            <w:top w:w="0" w:type="dxa"/>
            <w:left w:w="108" w:type="dxa"/>
            <w:bottom w:w="0" w:type="dxa"/>
            <w:right w:w="108" w:type="dxa"/>
          </w:tblCellMar>
        </w:tblPrEx>
        <w:trPr>
          <w:trHeight w:val="375" w:hRule="atLeast"/>
        </w:trPr>
        <w:tc>
          <w:tcPr>
            <w:tcW w:w="2311" w:type="dxa"/>
            <w:tcBorders>
              <w:top w:val="single" w:color="000000" w:sz="4" w:space="0"/>
              <w:left w:val="single" w:color="000000" w:sz="12" w:space="0"/>
              <w:bottom w:val="single" w:color="000000" w:sz="4" w:space="0"/>
              <w:right w:val="single" w:color="000000" w:sz="4" w:space="0"/>
            </w:tcBorders>
          </w:tcPr>
          <w:p>
            <w:pPr>
              <w:jc w:val="left"/>
              <w:rPr>
                <w:sz w:val="24"/>
                <w:szCs w:val="24"/>
              </w:rPr>
            </w:pPr>
            <w:r>
              <w:rPr>
                <w:sz w:val="24"/>
                <w:szCs w:val="24"/>
              </w:rPr>
              <w:t>管理费</w:t>
            </w: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项目调研、会议费、材料费、差旅费、专家咨询等</w:t>
            </w:r>
          </w:p>
        </w:tc>
        <w:tc>
          <w:tcPr>
            <w:tcW w:w="1588" w:type="dxa"/>
            <w:tcBorders>
              <w:top w:val="single" w:color="000000" w:sz="4" w:space="0"/>
              <w:left w:val="single" w:color="000000" w:sz="4" w:space="0"/>
              <w:bottom w:val="single" w:color="000000" w:sz="4" w:space="0"/>
              <w:right w:val="single" w:color="000000" w:sz="4" w:space="0"/>
            </w:tcBorders>
          </w:tcPr>
          <w:p>
            <w:pPr>
              <w:jc w:val="center"/>
              <w:rPr>
                <w:sz w:val="24"/>
                <w:szCs w:val="24"/>
              </w:rPr>
            </w:pPr>
            <w:r>
              <w:rPr>
                <w:sz w:val="24"/>
                <w:szCs w:val="24"/>
              </w:rPr>
              <w:t>10</w:t>
            </w:r>
          </w:p>
        </w:tc>
        <w:tc>
          <w:tcPr>
            <w:tcW w:w="1039" w:type="dxa"/>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36" w:hRule="atLeast"/>
        </w:trPr>
        <w:tc>
          <w:tcPr>
            <w:tcW w:w="2311" w:type="dxa"/>
            <w:vMerge w:val="restart"/>
            <w:tcBorders>
              <w:top w:val="single" w:color="000000" w:sz="4" w:space="0"/>
              <w:left w:val="single" w:color="000000" w:sz="12" w:space="0"/>
              <w:bottom w:val="single" w:color="000000" w:sz="4" w:space="0"/>
              <w:right w:val="single" w:color="000000" w:sz="4" w:space="0"/>
            </w:tcBorders>
          </w:tcPr>
          <w:p>
            <w:pPr>
              <w:jc w:val="left"/>
              <w:rPr>
                <w:sz w:val="24"/>
                <w:szCs w:val="24"/>
              </w:rPr>
            </w:pPr>
            <w:r>
              <w:rPr>
                <w:sz w:val="24"/>
                <w:szCs w:val="24"/>
              </w:rPr>
              <w:t>课程资源</w:t>
            </w: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智能制造与工业4.0</w:t>
            </w:r>
          </w:p>
        </w:tc>
        <w:tc>
          <w:tcPr>
            <w:tcW w:w="1588" w:type="dxa"/>
            <w:vMerge w:val="restart"/>
            <w:tcBorders>
              <w:top w:val="single" w:color="000000" w:sz="4" w:space="0"/>
              <w:left w:val="single" w:color="000000" w:sz="4" w:space="0"/>
              <w:bottom w:val="single" w:color="000000" w:sz="4" w:space="0"/>
              <w:right w:val="single" w:color="000000" w:sz="4" w:space="0"/>
            </w:tcBorders>
          </w:tcPr>
          <w:p>
            <w:pPr>
              <w:jc w:val="center"/>
              <w:rPr>
                <w:sz w:val="24"/>
                <w:szCs w:val="24"/>
              </w:rPr>
            </w:pPr>
            <w:bookmarkStart w:id="29" w:name="_GoBack"/>
            <w:bookmarkEnd w:id="29"/>
            <w:r>
              <w:rPr>
                <w:sz w:val="24"/>
                <w:szCs w:val="24"/>
              </w:rPr>
              <w:t>30</w:t>
            </w:r>
          </w:p>
        </w:tc>
        <w:tc>
          <w:tcPr>
            <w:tcW w:w="1039" w:type="dxa"/>
            <w:vMerge w:val="restart"/>
            <w:tcBorders>
              <w:top w:val="single" w:color="000000" w:sz="4" w:space="0"/>
              <w:left w:val="single" w:color="000000" w:sz="4" w:space="0"/>
              <w:bottom w:val="single" w:color="000000" w:sz="4" w:space="0"/>
              <w:right w:val="single" w:color="000000" w:sz="12" w:space="0"/>
            </w:tcBorders>
          </w:tcPr>
          <w:p>
            <w:pPr>
              <w:rPr>
                <w:sz w:val="24"/>
                <w:szCs w:val="24"/>
              </w:rPr>
            </w:pPr>
            <w:r>
              <w:rPr>
                <w:sz w:val="24"/>
                <w:szCs w:val="24"/>
              </w:rPr>
              <w:t>以精品微课为核心的数字化课程资源包，</w:t>
            </w:r>
          </w:p>
        </w:tc>
      </w:tr>
      <w:tr>
        <w:tblPrEx>
          <w:tblCellMar>
            <w:top w:w="0" w:type="dxa"/>
            <w:left w:w="108" w:type="dxa"/>
            <w:bottom w:w="0" w:type="dxa"/>
            <w:right w:w="108" w:type="dxa"/>
          </w:tblCellMar>
        </w:tblPrEx>
        <w:trPr>
          <w:trHeight w:val="357"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数控加工技术及工艺</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91"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数控铣编程与机床操作</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268"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数控车编程与机床操作</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268"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rFonts w:hint="eastAsia"/>
                <w:sz w:val="24"/>
                <w:szCs w:val="24"/>
              </w:rPr>
              <w:t>多轴加工</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268"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rFonts w:hint="eastAsia"/>
                <w:sz w:val="24"/>
                <w:szCs w:val="24"/>
              </w:rPr>
            </w:pPr>
            <w:r>
              <w:rPr>
                <w:rFonts w:hint="eastAsia"/>
                <w:sz w:val="24"/>
                <w:szCs w:val="24"/>
              </w:rPr>
              <w:t>液压传动</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268"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rFonts w:hint="eastAsia"/>
                <w:sz w:val="24"/>
                <w:szCs w:val="24"/>
              </w:rPr>
              <w:t>汽车发动机维修入门</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268"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rFonts w:hint="eastAsia"/>
                <w:sz w:val="24"/>
                <w:szCs w:val="24"/>
              </w:rPr>
              <w:t>汽车变速器维修入门</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268"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rFonts w:hint="eastAsia"/>
                <w:sz w:val="24"/>
                <w:szCs w:val="24"/>
              </w:rPr>
              <w:t>电子商务物流与配送</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restart"/>
            <w:tcBorders>
              <w:top w:val="single" w:color="000000" w:sz="4" w:space="0"/>
              <w:left w:val="single" w:color="000000" w:sz="12" w:space="0"/>
              <w:bottom w:val="single" w:color="000000" w:sz="4" w:space="0"/>
              <w:right w:val="single" w:color="000000" w:sz="4" w:space="0"/>
            </w:tcBorders>
          </w:tcPr>
          <w:p>
            <w:pPr>
              <w:jc w:val="left"/>
              <w:rPr>
                <w:sz w:val="24"/>
                <w:szCs w:val="24"/>
              </w:rPr>
            </w:pPr>
            <w:r>
              <w:rPr>
                <w:sz w:val="24"/>
                <w:szCs w:val="24"/>
              </w:rPr>
              <w:t>虚拟仿真软件库</w:t>
            </w: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虚拟普通车床自由加工</w:t>
            </w:r>
          </w:p>
        </w:tc>
        <w:tc>
          <w:tcPr>
            <w:tcW w:w="1588" w:type="dxa"/>
            <w:vMerge w:val="restart"/>
            <w:tcBorders>
              <w:top w:val="single" w:color="000000" w:sz="4" w:space="0"/>
              <w:left w:val="single" w:color="000000" w:sz="4" w:space="0"/>
              <w:bottom w:val="single" w:color="000000" w:sz="4" w:space="0"/>
              <w:right w:val="single" w:color="000000" w:sz="4" w:space="0"/>
            </w:tcBorders>
          </w:tcPr>
          <w:p>
            <w:pPr>
              <w:jc w:val="center"/>
              <w:rPr>
                <w:sz w:val="24"/>
                <w:szCs w:val="24"/>
              </w:rPr>
            </w:pPr>
            <w:r>
              <w:rPr>
                <w:sz w:val="24"/>
                <w:szCs w:val="24"/>
              </w:rPr>
              <w:t>70</w:t>
            </w:r>
          </w:p>
        </w:tc>
        <w:tc>
          <w:tcPr>
            <w:tcW w:w="1039" w:type="dxa"/>
            <w:vMerge w:val="restart"/>
            <w:tcBorders>
              <w:top w:val="single" w:color="000000" w:sz="4" w:space="0"/>
              <w:left w:val="single" w:color="000000" w:sz="4" w:space="0"/>
              <w:bottom w:val="single" w:color="000000" w:sz="4" w:space="0"/>
              <w:right w:val="single" w:color="000000" w:sz="12" w:space="0"/>
            </w:tcBorders>
          </w:tcPr>
          <w:p>
            <w:pPr>
              <w:rPr>
                <w:sz w:val="24"/>
                <w:szCs w:val="24"/>
              </w:rPr>
            </w:pPr>
            <w:r>
              <w:rPr>
                <w:sz w:val="24"/>
                <w:szCs w:val="24"/>
              </w:rPr>
              <w:t>虚拟仿真资源定制开发</w:t>
            </w: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虚拟普通车床装调与维修（机械）</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虚拟普通车床装调与维修（电气）</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虚拟普通铣床案例和自由加工（X53K）</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虚拟数控车床加工</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虚拟数控车床装调检测虚拟仿真实训系统(ZTXC15)</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虚拟数控铣床装调检测实训系统（ZTXX30）</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数控机床安装调试软件</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虚拟加工中心自由加工</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rFonts w:hint="eastAsia"/>
                <w:sz w:val="24"/>
                <w:szCs w:val="24"/>
              </w:rPr>
              <w:t>工业机器人仿真</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虚拟加工中心装调与维修</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rFonts w:hint="eastAsia"/>
                <w:sz w:val="24"/>
                <w:szCs w:val="24"/>
              </w:rPr>
              <w:t>虚拟汽车发动机拆装仿真</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rFonts w:hint="eastAsia"/>
                <w:sz w:val="24"/>
                <w:szCs w:val="24"/>
              </w:rPr>
              <w:t>虚拟变速器整机拆装仿真</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rFonts w:hint="eastAsia"/>
                <w:sz w:val="24"/>
                <w:szCs w:val="24"/>
              </w:rPr>
              <w:t>虚拟汽车钣金工</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vMerge w:val="continue"/>
            <w:tcBorders>
              <w:top w:val="single" w:color="000000" w:sz="4" w:space="0"/>
              <w:left w:val="single" w:color="000000" w:sz="12" w:space="0"/>
              <w:bottom w:val="single" w:color="000000" w:sz="4" w:space="0"/>
              <w:right w:val="single" w:color="000000" w:sz="4" w:space="0"/>
            </w:tcBorders>
          </w:tcPr>
          <w:p>
            <w:pPr>
              <w:snapToGrid w:val="0"/>
              <w:jc w:val="left"/>
              <w:rPr>
                <w:sz w:val="24"/>
                <w:szCs w:val="24"/>
              </w:rPr>
            </w:pP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rFonts w:hint="eastAsia"/>
                <w:sz w:val="24"/>
                <w:szCs w:val="24"/>
              </w:rPr>
              <w:t>国际贸易</w:t>
            </w:r>
          </w:p>
        </w:tc>
        <w:tc>
          <w:tcPr>
            <w:tcW w:w="1588" w:type="dxa"/>
            <w:vMerge w:val="continue"/>
            <w:tcBorders>
              <w:top w:val="single" w:color="000000" w:sz="4" w:space="0"/>
              <w:left w:val="single" w:color="000000" w:sz="4" w:space="0"/>
              <w:bottom w:val="single" w:color="000000" w:sz="4" w:space="0"/>
              <w:right w:val="single" w:color="000000" w:sz="4" w:space="0"/>
            </w:tcBorders>
          </w:tcPr>
          <w:p>
            <w:pPr>
              <w:snapToGrid w:val="0"/>
              <w:jc w:val="center"/>
              <w:rPr>
                <w:sz w:val="24"/>
                <w:szCs w:val="24"/>
              </w:rPr>
            </w:pPr>
          </w:p>
        </w:tc>
        <w:tc>
          <w:tcPr>
            <w:tcW w:w="1039" w:type="dxa"/>
            <w:vMerge w:val="continue"/>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90" w:hRule="atLeast"/>
        </w:trPr>
        <w:tc>
          <w:tcPr>
            <w:tcW w:w="2311" w:type="dxa"/>
            <w:tcBorders>
              <w:top w:val="single" w:color="000000" w:sz="4" w:space="0"/>
              <w:left w:val="single" w:color="000000" w:sz="12" w:space="0"/>
              <w:bottom w:val="single" w:color="000000" w:sz="4" w:space="0"/>
              <w:right w:val="single" w:color="000000" w:sz="4" w:space="0"/>
            </w:tcBorders>
          </w:tcPr>
          <w:p>
            <w:pPr>
              <w:jc w:val="left"/>
              <w:rPr>
                <w:sz w:val="24"/>
                <w:szCs w:val="24"/>
              </w:rPr>
            </w:pPr>
            <w:r>
              <w:rPr>
                <w:sz w:val="24"/>
                <w:szCs w:val="24"/>
              </w:rPr>
              <w:t>虚拟仿真教学管理与共享平台</w:t>
            </w: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用于资源的共享、教学过程管理、数据管理</w:t>
            </w:r>
          </w:p>
        </w:tc>
        <w:tc>
          <w:tcPr>
            <w:tcW w:w="1588" w:type="dxa"/>
            <w:tcBorders>
              <w:top w:val="single" w:color="000000" w:sz="4" w:space="0"/>
              <w:left w:val="single" w:color="000000" w:sz="4" w:space="0"/>
              <w:bottom w:val="single" w:color="000000" w:sz="4" w:space="0"/>
              <w:right w:val="single" w:color="000000" w:sz="4" w:space="0"/>
            </w:tcBorders>
          </w:tcPr>
          <w:p>
            <w:pPr>
              <w:jc w:val="center"/>
              <w:rPr>
                <w:sz w:val="24"/>
                <w:szCs w:val="24"/>
              </w:rPr>
            </w:pPr>
            <w:r>
              <w:rPr>
                <w:sz w:val="24"/>
                <w:szCs w:val="24"/>
              </w:rPr>
              <w:t>60</w:t>
            </w:r>
          </w:p>
        </w:tc>
        <w:tc>
          <w:tcPr>
            <w:tcW w:w="1039" w:type="dxa"/>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tcBorders>
              <w:top w:val="single" w:color="000000" w:sz="4" w:space="0"/>
              <w:left w:val="single" w:color="000000" w:sz="12" w:space="0"/>
              <w:bottom w:val="single" w:color="000000" w:sz="4" w:space="0"/>
              <w:right w:val="single" w:color="000000" w:sz="4" w:space="0"/>
            </w:tcBorders>
          </w:tcPr>
          <w:p>
            <w:pPr>
              <w:jc w:val="left"/>
              <w:rPr>
                <w:sz w:val="24"/>
                <w:szCs w:val="24"/>
              </w:rPr>
            </w:pPr>
            <w:r>
              <w:rPr>
                <w:sz w:val="24"/>
                <w:szCs w:val="24"/>
              </w:rPr>
              <w:t>环境、硬件建设</w:t>
            </w:r>
          </w:p>
        </w:tc>
        <w:tc>
          <w:tcPr>
            <w:tcW w:w="4212" w:type="dxa"/>
            <w:tcBorders>
              <w:top w:val="single" w:color="000000" w:sz="4" w:space="0"/>
              <w:left w:val="single" w:color="000000" w:sz="4" w:space="0"/>
              <w:bottom w:val="single" w:color="000000" w:sz="4" w:space="0"/>
              <w:right w:val="single" w:color="000000" w:sz="4" w:space="0"/>
            </w:tcBorders>
          </w:tcPr>
          <w:p>
            <w:pPr>
              <w:rPr>
                <w:sz w:val="24"/>
                <w:szCs w:val="24"/>
              </w:rPr>
            </w:pPr>
            <w:r>
              <w:rPr>
                <w:sz w:val="24"/>
                <w:szCs w:val="24"/>
              </w:rPr>
              <w:t>场地环境建设以及显示屏、虚拟现实设备采购</w:t>
            </w:r>
          </w:p>
        </w:tc>
        <w:tc>
          <w:tcPr>
            <w:tcW w:w="1588" w:type="dxa"/>
            <w:tcBorders>
              <w:top w:val="single" w:color="000000" w:sz="4" w:space="0"/>
              <w:left w:val="single" w:color="000000" w:sz="4" w:space="0"/>
              <w:bottom w:val="single" w:color="000000" w:sz="4" w:space="0"/>
              <w:right w:val="single" w:color="000000" w:sz="4" w:space="0"/>
            </w:tcBorders>
          </w:tcPr>
          <w:p>
            <w:pPr>
              <w:jc w:val="center"/>
              <w:rPr>
                <w:sz w:val="24"/>
                <w:szCs w:val="24"/>
              </w:rPr>
            </w:pPr>
            <w:r>
              <w:rPr>
                <w:sz w:val="24"/>
                <w:szCs w:val="24"/>
              </w:rPr>
              <w:t>30</w:t>
            </w:r>
          </w:p>
        </w:tc>
        <w:tc>
          <w:tcPr>
            <w:tcW w:w="1039" w:type="dxa"/>
            <w:tcBorders>
              <w:top w:val="single" w:color="000000" w:sz="4" w:space="0"/>
              <w:left w:val="single" w:color="000000" w:sz="4" w:space="0"/>
              <w:bottom w:val="single" w:color="000000" w:sz="4" w:space="0"/>
              <w:right w:val="single" w:color="000000" w:sz="12" w:space="0"/>
            </w:tcBorders>
          </w:tcPr>
          <w:p>
            <w:pPr>
              <w:snapToGrid w:val="0"/>
              <w:rPr>
                <w:sz w:val="24"/>
                <w:szCs w:val="24"/>
              </w:rPr>
            </w:pPr>
          </w:p>
        </w:tc>
      </w:tr>
      <w:tr>
        <w:tblPrEx>
          <w:tblCellMar>
            <w:top w:w="0" w:type="dxa"/>
            <w:left w:w="108" w:type="dxa"/>
            <w:bottom w:w="0" w:type="dxa"/>
            <w:right w:w="108" w:type="dxa"/>
          </w:tblCellMar>
        </w:tblPrEx>
        <w:trPr>
          <w:trHeight w:val="375" w:hRule="atLeast"/>
        </w:trPr>
        <w:tc>
          <w:tcPr>
            <w:tcW w:w="2311" w:type="dxa"/>
            <w:tcBorders>
              <w:top w:val="single" w:color="000000" w:sz="4" w:space="0"/>
              <w:left w:val="single" w:color="000000" w:sz="12" w:space="0"/>
              <w:bottom w:val="single" w:color="000000" w:sz="12" w:space="0"/>
              <w:right w:val="single" w:color="000000" w:sz="4" w:space="0"/>
            </w:tcBorders>
          </w:tcPr>
          <w:p>
            <w:pPr>
              <w:jc w:val="left"/>
              <w:rPr>
                <w:sz w:val="24"/>
                <w:szCs w:val="24"/>
              </w:rPr>
            </w:pPr>
            <w:r>
              <w:rPr>
                <w:sz w:val="24"/>
                <w:szCs w:val="24"/>
              </w:rPr>
              <w:t>合计（万元）</w:t>
            </w:r>
          </w:p>
        </w:tc>
        <w:tc>
          <w:tcPr>
            <w:tcW w:w="4212" w:type="dxa"/>
            <w:tcBorders>
              <w:top w:val="single" w:color="000000" w:sz="4" w:space="0"/>
              <w:left w:val="single" w:color="000000" w:sz="4" w:space="0"/>
              <w:bottom w:val="single" w:color="000000" w:sz="12" w:space="0"/>
              <w:right w:val="single" w:color="000000" w:sz="4" w:space="0"/>
            </w:tcBorders>
          </w:tcPr>
          <w:p>
            <w:pPr>
              <w:snapToGrid w:val="0"/>
              <w:rPr>
                <w:sz w:val="24"/>
                <w:szCs w:val="24"/>
              </w:rPr>
            </w:pPr>
          </w:p>
        </w:tc>
        <w:tc>
          <w:tcPr>
            <w:tcW w:w="1588" w:type="dxa"/>
            <w:tcBorders>
              <w:top w:val="single" w:color="000000" w:sz="4" w:space="0"/>
              <w:left w:val="single" w:color="000000" w:sz="4" w:space="0"/>
              <w:bottom w:val="single" w:color="000000" w:sz="12" w:space="0"/>
              <w:right w:val="single" w:color="000000" w:sz="4" w:space="0"/>
            </w:tcBorders>
          </w:tcPr>
          <w:p>
            <w:pPr>
              <w:jc w:val="center"/>
              <w:rPr>
                <w:sz w:val="24"/>
                <w:szCs w:val="24"/>
              </w:rPr>
            </w:pPr>
            <w:r>
              <w:rPr>
                <w:sz w:val="24"/>
                <w:szCs w:val="24"/>
              </w:rPr>
              <w:t>200</w:t>
            </w:r>
          </w:p>
        </w:tc>
        <w:tc>
          <w:tcPr>
            <w:tcW w:w="1039" w:type="dxa"/>
            <w:tcBorders>
              <w:top w:val="single" w:color="000000" w:sz="4" w:space="0"/>
              <w:left w:val="single" w:color="000000" w:sz="4" w:space="0"/>
              <w:bottom w:val="single" w:color="000000" w:sz="12" w:space="0"/>
              <w:right w:val="single" w:color="000000" w:sz="12" w:space="0"/>
            </w:tcBorders>
          </w:tcPr>
          <w:p>
            <w:pPr>
              <w:snapToGrid w:val="0"/>
              <w:rPr>
                <w:sz w:val="24"/>
                <w:szCs w:val="24"/>
              </w:rPr>
            </w:pPr>
          </w:p>
        </w:tc>
      </w:tr>
    </w:tbl>
    <w:p/>
    <w:sectPr>
      <w:footerReference r:id="rId5" w:type="first"/>
      <w:footerReference r:id="rId3" w:type="default"/>
      <w:footerReference r:id="rId4" w:type="even"/>
      <w:pgSz w:w="11906" w:h="16838"/>
      <w:pgMar w:top="1797" w:right="1440" w:bottom="1797" w:left="1440" w:header="851" w:footer="1672" w:gutter="0"/>
      <w:cols w:space="720" w:num="1"/>
      <w:formProt w:val="0"/>
      <w:titlePg/>
      <w:docGrid w:type="lines" w:linePitch="322" w:charSpace="573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宋体;SimSun">
    <w:altName w:val="宋体"/>
    <w:panose1 w:val="00000000000000000000"/>
    <w:charset w:val="86"/>
    <w:family w:val="roman"/>
    <w:pitch w:val="default"/>
    <w:sig w:usb0="00000000" w:usb1="00000000" w:usb2="00000000" w:usb3="00000000" w:csb0="00000000" w:csb1="00000000"/>
  </w:font>
  <w:font w:name="CenturyGothic;Segoe Print">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方正小标宋简体;微软雅黑">
    <w:altName w:val="宋体"/>
    <w:panose1 w:val="00000000000000000000"/>
    <w:charset w:val="86"/>
    <w:family w:val="roman"/>
    <w:pitch w:val="default"/>
    <w:sig w:usb0="00000000" w:usb1="00000000" w:usb2="00000000" w:usb3="00000000" w:csb0="00000000" w:csb1="00000000"/>
  </w:font>
  <w:font w:name="方正小标宋简体">
    <w:altName w:val="微软雅黑"/>
    <w:panose1 w:val="00000000000000000000"/>
    <w:charset w:val="86"/>
    <w:family w:val="roman"/>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仿宋">
    <w:altName w:val="宋体"/>
    <w:panose1 w:val="00000000000000000000"/>
    <w:charset w:val="86"/>
    <w:family w:val="roman"/>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等线">
    <w:altName w:val="Arial Unicode MS"/>
    <w:panose1 w:val="00000000000000000000"/>
    <w:charset w:val="00"/>
    <w:family w:val="auto"/>
    <w:pitch w:val="default"/>
    <w:sig w:usb0="00000000" w:usb1="00000000" w:usb2="00000000" w:usb3="00000000" w:csb0="00000000" w:csb1="00000000"/>
  </w:font>
  <w:font w:name="宋体;SimSun">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b/>
        <w:sz w:val="28"/>
        <w:szCs w:val="28"/>
      </w:rPr>
    </w:pPr>
    <w:r>
      <w:rPr>
        <w:b/>
        <w:sz w:val="28"/>
        <w:szCs w:val="28"/>
      </w:rPr>
      <mc:AlternateContent>
        <mc:Choice Requires="wps">
          <w:drawing>
            <wp:anchor distT="0" distB="0" distL="0" distR="0" simplePos="0" relativeHeight="251660288" behindDoc="1" locked="0" layoutInCell="0" allowOverlap="1">
              <wp:simplePos x="0" y="0"/>
              <wp:positionH relativeFrom="margin">
                <wp:align>center</wp:align>
              </wp:positionH>
              <wp:positionV relativeFrom="paragraph">
                <wp:posOffset>635</wp:posOffset>
              </wp:positionV>
              <wp:extent cx="1059815" cy="127000"/>
              <wp:effectExtent l="0" t="0" r="0" b="0"/>
              <wp:wrapNone/>
              <wp:docPr id="81" name="框架2"/>
              <wp:cNvGraphicFramePr/>
              <a:graphic xmlns:a="http://schemas.openxmlformats.org/drawingml/2006/main">
                <a:graphicData uri="http://schemas.microsoft.com/office/word/2010/wordprocessingShape">
                  <wps:wsp>
                    <wps:cNvSpPr/>
                    <wps:spPr>
                      <a:xfrm>
                        <a:off x="0" y="0"/>
                        <a:ext cx="1059120" cy="126360"/>
                      </a:xfrm>
                      <a:prstGeom prst="rect">
                        <a:avLst/>
                      </a:prstGeom>
                      <a:noFill/>
                      <a:ln w="0">
                        <a:noFill/>
                      </a:ln>
                    </wps:spPr>
                    <wps:style>
                      <a:lnRef idx="0">
                        <a:scrgbClr r="0" g="0" b="0"/>
                      </a:lnRef>
                      <a:fillRef idx="0">
                        <a:scrgbClr r="0" g="0" b="0"/>
                      </a:fillRef>
                      <a:effectRef idx="0">
                        <a:scrgbClr r="0" g="0" b="0"/>
                      </a:effectRef>
                      <a:fontRef idx="minor"/>
                    </wps:style>
                    <wps:txbx>
                      <w:txbxContent>
                        <w:p>
                          <w:pPr>
                            <w:pStyle w:val="7"/>
                          </w:pPr>
                          <w:r>
                            <w:t>第</w:t>
                          </w:r>
                          <w:r>
                            <w:rPr>
                              <w:rFonts w:eastAsia="Times New Roman"/>
                            </w:rPr>
                            <w:t xml:space="preserve"> </w:t>
                          </w:r>
                          <w:r>
                            <w:fldChar w:fldCharType="begin"/>
                          </w:r>
                          <w:r>
                            <w:instrText xml:space="preserve">PAGE</w:instrText>
                          </w:r>
                          <w:r>
                            <w:fldChar w:fldCharType="separate"/>
                          </w:r>
                          <w:r>
                            <w:t>37</w:t>
                          </w:r>
                          <w:r>
                            <w:fldChar w:fldCharType="end"/>
                          </w:r>
                          <w:r>
                            <w:rPr>
                              <w:rFonts w:eastAsia="Times New Roman"/>
                            </w:rPr>
                            <w:t xml:space="preserve"> </w:t>
                          </w:r>
                          <w:r>
                            <w:t>页</w:t>
                          </w:r>
                          <w:r>
                            <w:rPr>
                              <w:rFonts w:eastAsia="Times New Roman"/>
                            </w:rPr>
                            <w:t xml:space="preserve"> </w:t>
                          </w:r>
                          <w:r>
                            <w:t>共</w:t>
                          </w:r>
                          <w:r>
                            <w:rPr>
                              <w:rFonts w:eastAsia="Times New Roman"/>
                            </w:rPr>
                            <w:t xml:space="preserve"> </w:t>
                          </w:r>
                          <w:r>
                            <w:fldChar w:fldCharType="begin"/>
                          </w:r>
                          <w:r>
                            <w:instrText xml:space="preserve">NUMPAGES</w:instrText>
                          </w:r>
                          <w:r>
                            <w:fldChar w:fldCharType="separate"/>
                          </w:r>
                          <w:r>
                            <w:t>38</w:t>
                          </w:r>
                          <w:r>
                            <w:fldChar w:fldCharType="end"/>
                          </w:r>
                          <w:r>
                            <w:rPr>
                              <w:rFonts w:eastAsia="Times New Roman"/>
                            </w:rPr>
                            <w:t xml:space="preserve"> </w:t>
                          </w:r>
                          <w:r>
                            <w:t>页</w:t>
                          </w:r>
                        </w:p>
                      </w:txbxContent>
                    </wps:txbx>
                    <wps:bodyPr lIns="720" tIns="720" rIns="720" bIns="720">
                      <a:spAutoFit/>
                    </wps:bodyPr>
                  </wps:wsp>
                </a:graphicData>
              </a:graphic>
            </wp:anchor>
          </w:drawing>
        </mc:Choice>
        <mc:Fallback>
          <w:pict>
            <v:rect id="框架2" o:spid="_x0000_s1026" o:spt="1" style="position:absolute;left:0pt;margin-top:0.05pt;height:10pt;width:83.45pt;mso-position-horizontal:center;mso-position-horizontal-relative:margin;z-index:-251656192;mso-width-relative:page;mso-height-relative:page;" filled="f" stroked="f" coordsize="21600,21600" o:allowincell="f" o:gfxdata="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sNP5TUAAAABAEAAA8AAAAAAAAAAQAgAAAAIgAAAGRycy9kb3ducmV2LnhtbFBLAQIUABQAAAAI&#10;AIdO4kCoAE85uAEAAIEDAAAOAAAAAAAAAAEAIAAAACMBAABkcnMvZTJvRG9jLnhtbFBLBQYAAAAA&#10;BgAGAFkBAABNBQAAAAA=&#10;">
              <v:fill on="f" focussize="0,0"/>
              <v:stroke on="f" weight="0pt"/>
              <v:imagedata o:title=""/>
              <o:lock v:ext="edit" aspectratio="f"/>
              <v:textbox inset="0.02mm,0.02mm,0.02mm,0.02mm" style="mso-fit-shape-to-text:t;">
                <w:txbxContent>
                  <w:p>
                    <w:pPr>
                      <w:pStyle w:val="7"/>
                    </w:pPr>
                    <w:r>
                      <w:t>第</w:t>
                    </w:r>
                    <w:r>
                      <w:rPr>
                        <w:rFonts w:eastAsia="Times New Roman"/>
                      </w:rPr>
                      <w:t xml:space="preserve"> </w:t>
                    </w:r>
                    <w:r>
                      <w:fldChar w:fldCharType="begin"/>
                    </w:r>
                    <w:r>
                      <w:instrText xml:space="preserve">PAGE</w:instrText>
                    </w:r>
                    <w:r>
                      <w:fldChar w:fldCharType="separate"/>
                    </w:r>
                    <w:r>
                      <w:t>37</w:t>
                    </w:r>
                    <w:r>
                      <w:fldChar w:fldCharType="end"/>
                    </w:r>
                    <w:r>
                      <w:rPr>
                        <w:rFonts w:eastAsia="Times New Roman"/>
                      </w:rPr>
                      <w:t xml:space="preserve"> </w:t>
                    </w:r>
                    <w:r>
                      <w:t>页</w:t>
                    </w:r>
                    <w:r>
                      <w:rPr>
                        <w:rFonts w:eastAsia="Times New Roman"/>
                      </w:rPr>
                      <w:t xml:space="preserve"> </w:t>
                    </w:r>
                    <w:r>
                      <w:t>共</w:t>
                    </w:r>
                    <w:r>
                      <w:rPr>
                        <w:rFonts w:eastAsia="Times New Roman"/>
                      </w:rPr>
                      <w:t xml:space="preserve"> </w:t>
                    </w:r>
                    <w:r>
                      <w:fldChar w:fldCharType="begin"/>
                    </w:r>
                    <w:r>
                      <w:instrText xml:space="preserve">NUMPAGES</w:instrText>
                    </w:r>
                    <w:r>
                      <w:fldChar w:fldCharType="separate"/>
                    </w:r>
                    <w:r>
                      <w:t>38</w:t>
                    </w:r>
                    <w:r>
                      <w:fldChar w:fldCharType="end"/>
                    </w:r>
                    <w:r>
                      <w:rPr>
                        <w:rFonts w:eastAsia="Times New Roman"/>
                      </w:rPr>
                      <w:t xml:space="preserve"> </w:t>
                    </w:r>
                    <w:r>
                      <w:t>页</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0" distR="0" simplePos="0" relativeHeight="251659264" behindDoc="1" locked="0" layoutInCell="0" allowOverlap="1">
              <wp:simplePos x="0" y="0"/>
              <wp:positionH relativeFrom="margin">
                <wp:align>center</wp:align>
              </wp:positionH>
              <wp:positionV relativeFrom="paragraph">
                <wp:posOffset>635</wp:posOffset>
              </wp:positionV>
              <wp:extent cx="1059815" cy="127000"/>
              <wp:effectExtent l="0" t="0" r="0" b="0"/>
              <wp:wrapNone/>
              <wp:docPr id="79" name="框架3"/>
              <wp:cNvGraphicFramePr/>
              <a:graphic xmlns:a="http://schemas.openxmlformats.org/drawingml/2006/main">
                <a:graphicData uri="http://schemas.microsoft.com/office/word/2010/wordprocessingShape">
                  <wps:wsp>
                    <wps:cNvSpPr/>
                    <wps:spPr>
                      <a:xfrm>
                        <a:off x="0" y="0"/>
                        <a:ext cx="1059120" cy="126360"/>
                      </a:xfrm>
                      <a:prstGeom prst="rect">
                        <a:avLst/>
                      </a:prstGeom>
                      <a:noFill/>
                      <a:ln w="0">
                        <a:noFill/>
                      </a:ln>
                    </wps:spPr>
                    <wps:style>
                      <a:lnRef idx="0">
                        <a:scrgbClr r="0" g="0" b="0"/>
                      </a:lnRef>
                      <a:fillRef idx="0">
                        <a:scrgbClr r="0" g="0" b="0"/>
                      </a:fillRef>
                      <a:effectRef idx="0">
                        <a:scrgbClr r="0" g="0" b="0"/>
                      </a:effectRef>
                      <a:fontRef idx="minor"/>
                    </wps:style>
                    <wps:txbx>
                      <w:txbxContent>
                        <w:p>
                          <w:pPr>
                            <w:pStyle w:val="7"/>
                          </w:pPr>
                          <w:r>
                            <w:t>第</w:t>
                          </w:r>
                          <w:r>
                            <w:rPr>
                              <w:rFonts w:eastAsia="Times New Roman"/>
                            </w:rPr>
                            <w:t xml:space="preserve"> </w:t>
                          </w:r>
                          <w:r>
                            <w:fldChar w:fldCharType="begin"/>
                          </w:r>
                          <w:r>
                            <w:instrText xml:space="preserve">PAGE</w:instrText>
                          </w:r>
                          <w:r>
                            <w:fldChar w:fldCharType="separate"/>
                          </w:r>
                          <w:r>
                            <w:t>38</w:t>
                          </w:r>
                          <w:r>
                            <w:fldChar w:fldCharType="end"/>
                          </w:r>
                          <w:r>
                            <w:rPr>
                              <w:rFonts w:eastAsia="Times New Roman"/>
                            </w:rPr>
                            <w:t xml:space="preserve"> </w:t>
                          </w:r>
                          <w:r>
                            <w:t>页</w:t>
                          </w:r>
                          <w:r>
                            <w:rPr>
                              <w:rFonts w:eastAsia="Times New Roman"/>
                            </w:rPr>
                            <w:t xml:space="preserve"> </w:t>
                          </w:r>
                          <w:r>
                            <w:t>共</w:t>
                          </w:r>
                          <w:r>
                            <w:rPr>
                              <w:rFonts w:eastAsia="Times New Roman"/>
                            </w:rPr>
                            <w:t xml:space="preserve"> </w:t>
                          </w:r>
                          <w:r>
                            <w:fldChar w:fldCharType="begin"/>
                          </w:r>
                          <w:r>
                            <w:instrText xml:space="preserve">NUMPAGES</w:instrText>
                          </w:r>
                          <w:r>
                            <w:fldChar w:fldCharType="separate"/>
                          </w:r>
                          <w:r>
                            <w:t>38</w:t>
                          </w:r>
                          <w:r>
                            <w:fldChar w:fldCharType="end"/>
                          </w:r>
                          <w:r>
                            <w:rPr>
                              <w:rFonts w:eastAsia="Times New Roman"/>
                            </w:rPr>
                            <w:t xml:space="preserve"> </w:t>
                          </w:r>
                          <w:r>
                            <w:t>页</w:t>
                          </w:r>
                        </w:p>
                      </w:txbxContent>
                    </wps:txbx>
                    <wps:bodyPr lIns="720" tIns="720" rIns="720" bIns="720">
                      <a:spAutoFit/>
                    </wps:bodyPr>
                  </wps:wsp>
                </a:graphicData>
              </a:graphic>
            </wp:anchor>
          </w:drawing>
        </mc:Choice>
        <mc:Fallback>
          <w:pict>
            <v:rect id="框架3" o:spid="_x0000_s1026" o:spt="1" style="position:absolute;left:0pt;margin-top:0.05pt;height:10pt;width:83.45pt;mso-position-horizontal:center;mso-position-horizontal-relative:margin;z-index:-251657216;mso-width-relative:page;mso-height-relative:page;" filled="f" stroked="f" coordsize="21600,21600" o:allowincell="f" o:gfxdata="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sNP5TUAAAABAEAAA8AAAAAAAAAAQAgAAAAIgAAAGRycy9kb3ducmV2LnhtbFBLAQIUABQAAAAI&#10;AIdO4kADHBouuAEAAIEDAAAOAAAAAAAAAAEAIAAAACMBAABkcnMvZTJvRG9jLnhtbFBLBQYAAAAA&#10;BgAGAFkBAABNBQAAAAA=&#10;">
              <v:fill on="f" focussize="0,0"/>
              <v:stroke on="f" weight="0pt"/>
              <v:imagedata o:title=""/>
              <o:lock v:ext="edit" aspectratio="f"/>
              <v:textbox inset="0.02mm,0.02mm,0.02mm,0.02mm" style="mso-fit-shape-to-text:t;">
                <w:txbxContent>
                  <w:p>
                    <w:pPr>
                      <w:pStyle w:val="7"/>
                    </w:pPr>
                    <w:r>
                      <w:t>第</w:t>
                    </w:r>
                    <w:r>
                      <w:rPr>
                        <w:rFonts w:eastAsia="Times New Roman"/>
                      </w:rPr>
                      <w:t xml:space="preserve"> </w:t>
                    </w:r>
                    <w:r>
                      <w:fldChar w:fldCharType="begin"/>
                    </w:r>
                    <w:r>
                      <w:instrText xml:space="preserve">PAGE</w:instrText>
                    </w:r>
                    <w:r>
                      <w:fldChar w:fldCharType="separate"/>
                    </w:r>
                    <w:r>
                      <w:t>38</w:t>
                    </w:r>
                    <w:r>
                      <w:fldChar w:fldCharType="end"/>
                    </w:r>
                    <w:r>
                      <w:rPr>
                        <w:rFonts w:eastAsia="Times New Roman"/>
                      </w:rPr>
                      <w:t xml:space="preserve"> </w:t>
                    </w:r>
                    <w:r>
                      <w:t>页</w:t>
                    </w:r>
                    <w:r>
                      <w:rPr>
                        <w:rFonts w:eastAsia="Times New Roman"/>
                      </w:rPr>
                      <w:t xml:space="preserve"> </w:t>
                    </w:r>
                    <w:r>
                      <w:t>共</w:t>
                    </w:r>
                    <w:r>
                      <w:rPr>
                        <w:rFonts w:eastAsia="Times New Roman"/>
                      </w:rPr>
                      <w:t xml:space="preserve"> </w:t>
                    </w:r>
                    <w:r>
                      <w:fldChar w:fldCharType="begin"/>
                    </w:r>
                    <w:r>
                      <w:instrText xml:space="preserve">NUMPAGES</w:instrText>
                    </w:r>
                    <w:r>
                      <w:fldChar w:fldCharType="separate"/>
                    </w:r>
                    <w:r>
                      <w:t>38</w:t>
                    </w:r>
                    <w:r>
                      <w:fldChar w:fldCharType="end"/>
                    </w:r>
                    <w:r>
                      <w:rPr>
                        <w:rFonts w:eastAsia="Times New Roman"/>
                      </w:rPr>
                      <w:t xml:space="preserve"> </w:t>
                    </w:r>
                    <w:r>
                      <w:t>页</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660"/>
        <w:tab w:val="clear" w:pos="4153"/>
        <w:tab w:val="clear" w:pos="8306"/>
      </w:tabs>
    </w:pPr>
    <w:r>
      <mc:AlternateContent>
        <mc:Choice Requires="wps">
          <w:drawing>
            <wp:anchor distT="0" distB="0" distL="0" distR="0" simplePos="0" relativeHeight="251660288" behindDoc="1" locked="0" layoutInCell="0" allowOverlap="1">
              <wp:simplePos x="0" y="0"/>
              <wp:positionH relativeFrom="margin">
                <wp:align>center</wp:align>
              </wp:positionH>
              <wp:positionV relativeFrom="paragraph">
                <wp:posOffset>635</wp:posOffset>
              </wp:positionV>
              <wp:extent cx="1002665" cy="127000"/>
              <wp:effectExtent l="0" t="0" r="0" b="0"/>
              <wp:wrapNone/>
              <wp:docPr id="83" name="框架1"/>
              <wp:cNvGraphicFramePr/>
              <a:graphic xmlns:a="http://schemas.openxmlformats.org/drawingml/2006/main">
                <a:graphicData uri="http://schemas.microsoft.com/office/word/2010/wordprocessingShape">
                  <wps:wsp>
                    <wps:cNvSpPr/>
                    <wps:spPr>
                      <a:xfrm>
                        <a:off x="0" y="0"/>
                        <a:ext cx="1001880" cy="126360"/>
                      </a:xfrm>
                      <a:prstGeom prst="rect">
                        <a:avLst/>
                      </a:prstGeom>
                      <a:noFill/>
                      <a:ln w="0">
                        <a:noFill/>
                      </a:ln>
                    </wps:spPr>
                    <wps:style>
                      <a:lnRef idx="0">
                        <a:scrgbClr r="0" g="0" b="0"/>
                      </a:lnRef>
                      <a:fillRef idx="0">
                        <a:scrgbClr r="0" g="0" b="0"/>
                      </a:fillRef>
                      <a:effectRef idx="0">
                        <a:scrgbClr r="0" g="0" b="0"/>
                      </a:effectRef>
                      <a:fontRef idx="minor"/>
                    </wps:style>
                    <wps:txbx>
                      <w:txbxContent>
                        <w:p>
                          <w:pPr>
                            <w:pStyle w:val="7"/>
                          </w:pPr>
                          <w:r>
                            <w:t>第</w:t>
                          </w:r>
                          <w:r>
                            <w:rPr>
                              <w:rFonts w:eastAsia="Times New Roman"/>
                            </w:rPr>
                            <w:t xml:space="preserve"> </w:t>
                          </w:r>
                          <w:r>
                            <w:fldChar w:fldCharType="begin"/>
                          </w:r>
                          <w:r>
                            <w:instrText xml:space="preserve">PAGE</w:instrText>
                          </w:r>
                          <w:r>
                            <w:fldChar w:fldCharType="separate"/>
                          </w:r>
                          <w:r>
                            <w:t>1</w:t>
                          </w:r>
                          <w:r>
                            <w:fldChar w:fldCharType="end"/>
                          </w:r>
                          <w:r>
                            <w:rPr>
                              <w:rFonts w:eastAsia="Times New Roman"/>
                            </w:rPr>
                            <w:t xml:space="preserve"> </w:t>
                          </w:r>
                          <w:r>
                            <w:t>页</w:t>
                          </w:r>
                          <w:r>
                            <w:rPr>
                              <w:rFonts w:eastAsia="Times New Roman"/>
                            </w:rPr>
                            <w:t xml:space="preserve"> </w:t>
                          </w:r>
                          <w:r>
                            <w:t>共</w:t>
                          </w:r>
                          <w:r>
                            <w:rPr>
                              <w:rFonts w:eastAsia="Times New Roman"/>
                            </w:rPr>
                            <w:t xml:space="preserve"> </w:t>
                          </w:r>
                          <w:r>
                            <w:fldChar w:fldCharType="begin"/>
                          </w:r>
                          <w:r>
                            <w:instrText xml:space="preserve">NUMPAGES</w:instrText>
                          </w:r>
                          <w:r>
                            <w:fldChar w:fldCharType="separate"/>
                          </w:r>
                          <w:r>
                            <w:t>38</w:t>
                          </w:r>
                          <w:r>
                            <w:fldChar w:fldCharType="end"/>
                          </w:r>
                          <w:r>
                            <w:rPr>
                              <w:rFonts w:eastAsia="Times New Roman"/>
                            </w:rPr>
                            <w:t xml:space="preserve"> </w:t>
                          </w:r>
                          <w:r>
                            <w:t>页</w:t>
                          </w:r>
                        </w:p>
                      </w:txbxContent>
                    </wps:txbx>
                    <wps:bodyPr lIns="720" tIns="720" rIns="720" bIns="720">
                      <a:spAutoFit/>
                    </wps:bodyPr>
                  </wps:wsp>
                </a:graphicData>
              </a:graphic>
            </wp:anchor>
          </w:drawing>
        </mc:Choice>
        <mc:Fallback>
          <w:pict>
            <v:rect id="框架1" o:spid="_x0000_s1026" o:spt="1" style="position:absolute;left:0pt;margin-top:0.05pt;height:10pt;width:78.95pt;mso-position-horizontal:center;mso-position-horizontal-relative:margin;z-index:-251656192;mso-width-relative:page;mso-height-relative:page;" filled="f" stroked="f" coordsize="21600,21600" o:allowincell="f" o:gfxdata="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puCMNQAAAAEAQAADwAAAAAAAAABACAAAAAiAAAAZHJzL2Rvd25yZXYueG1sUEsBAhQAFAAA&#10;AAgAh07iQEsuo7e6AQAAgQMAAA4AAAAAAAAAAQAgAAAAIwEAAGRycy9lMm9Eb2MueG1sUEsFBgAA&#10;AAAGAAYAWQEAAE8FAAAAAA==&#10;">
              <v:fill on="f" focussize="0,0"/>
              <v:stroke on="f" weight="0pt"/>
              <v:imagedata o:title=""/>
              <o:lock v:ext="edit" aspectratio="f"/>
              <v:textbox inset="0.02mm,0.02mm,0.02mm,0.02mm" style="mso-fit-shape-to-text:t;">
                <w:txbxContent>
                  <w:p>
                    <w:pPr>
                      <w:pStyle w:val="7"/>
                    </w:pPr>
                    <w:r>
                      <w:t>第</w:t>
                    </w:r>
                    <w:r>
                      <w:rPr>
                        <w:rFonts w:eastAsia="Times New Roman"/>
                      </w:rPr>
                      <w:t xml:space="preserve"> </w:t>
                    </w:r>
                    <w:r>
                      <w:fldChar w:fldCharType="begin"/>
                    </w:r>
                    <w:r>
                      <w:instrText xml:space="preserve">PAGE</w:instrText>
                    </w:r>
                    <w:r>
                      <w:fldChar w:fldCharType="separate"/>
                    </w:r>
                    <w:r>
                      <w:t>1</w:t>
                    </w:r>
                    <w:r>
                      <w:fldChar w:fldCharType="end"/>
                    </w:r>
                    <w:r>
                      <w:rPr>
                        <w:rFonts w:eastAsia="Times New Roman"/>
                      </w:rPr>
                      <w:t xml:space="preserve"> </w:t>
                    </w:r>
                    <w:r>
                      <w:t>页</w:t>
                    </w:r>
                    <w:r>
                      <w:rPr>
                        <w:rFonts w:eastAsia="Times New Roman"/>
                      </w:rPr>
                      <w:t xml:space="preserve"> </w:t>
                    </w:r>
                    <w:r>
                      <w:t>共</w:t>
                    </w:r>
                    <w:r>
                      <w:rPr>
                        <w:rFonts w:eastAsia="Times New Roman"/>
                      </w:rPr>
                      <w:t xml:space="preserve"> </w:t>
                    </w:r>
                    <w:r>
                      <w:fldChar w:fldCharType="begin"/>
                    </w:r>
                    <w:r>
                      <w:instrText xml:space="preserve">NUMPAGES</w:instrText>
                    </w:r>
                    <w:r>
                      <w:fldChar w:fldCharType="separate"/>
                    </w:r>
                    <w:r>
                      <w:t>38</w:t>
                    </w:r>
                    <w:r>
                      <w:fldChar w:fldCharType="end"/>
                    </w:r>
                    <w:r>
                      <w:rPr>
                        <w:rFonts w:eastAsia="Times New Roman"/>
                      </w:rPr>
                      <w:t xml:space="preserve"> </w:t>
                    </w:r>
                    <w:r>
                      <w:t>页</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73B29"/>
    <w:multiLevelType w:val="singleLevel"/>
    <w:tmpl w:val="08D73B29"/>
    <w:lvl w:ilvl="0" w:tentative="0">
      <w:start w:val="4"/>
      <w:numFmt w:val="chineseCounting"/>
      <w:suff w:val="nothing"/>
      <w:lvlText w:val="%1、"/>
      <w:lvlJc w:val="left"/>
      <w:pPr>
        <w:ind w:left="64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autoHyphenation/>
  <w:evenAndOddHeaders w:val="1"/>
  <w:characterSpacingControl w:val="doNotCompress"/>
  <w:compat>
    <w:noLeading/>
    <w:balanceSingleByteDoubleByteWidth/>
    <w:ulTrailSpace/>
    <w:doNotExpandShiftReturn/>
    <w:useFELayout/>
    <w:compatSetting w:name="compatibilityMode" w:uri="http://schemas.microsoft.com/office/word" w:val="14"/>
  </w:compat>
  <w:rsids>
    <w:rsidRoot w:val="008A5666"/>
    <w:rsid w:val="00037162"/>
    <w:rsid w:val="000B0DF5"/>
    <w:rsid w:val="002A75D7"/>
    <w:rsid w:val="002F4EAE"/>
    <w:rsid w:val="00350B92"/>
    <w:rsid w:val="00490A9D"/>
    <w:rsid w:val="004B3127"/>
    <w:rsid w:val="00555C67"/>
    <w:rsid w:val="00671786"/>
    <w:rsid w:val="0071466B"/>
    <w:rsid w:val="007354DC"/>
    <w:rsid w:val="007E02F5"/>
    <w:rsid w:val="00891DE0"/>
    <w:rsid w:val="008A5666"/>
    <w:rsid w:val="00986A35"/>
    <w:rsid w:val="00B45AD9"/>
    <w:rsid w:val="00B6632E"/>
    <w:rsid w:val="00B974D1"/>
    <w:rsid w:val="00BD7D76"/>
    <w:rsid w:val="00BE462E"/>
    <w:rsid w:val="00C834B4"/>
    <w:rsid w:val="00CE7382"/>
    <w:rsid w:val="00D75D68"/>
    <w:rsid w:val="00DD51CB"/>
    <w:rsid w:val="00FB2940"/>
    <w:rsid w:val="065C3366"/>
    <w:rsid w:val="083F40D5"/>
    <w:rsid w:val="0B2161FA"/>
    <w:rsid w:val="0FB648B7"/>
    <w:rsid w:val="114052BD"/>
    <w:rsid w:val="130F2767"/>
    <w:rsid w:val="15ED48FB"/>
    <w:rsid w:val="21FD246B"/>
    <w:rsid w:val="26C95EAB"/>
    <w:rsid w:val="32AE0A91"/>
    <w:rsid w:val="3A8D5237"/>
    <w:rsid w:val="44C04ED8"/>
    <w:rsid w:val="45274CB1"/>
    <w:rsid w:val="474A5ED3"/>
    <w:rsid w:val="5C0755B6"/>
    <w:rsid w:val="5F9D3AD9"/>
    <w:rsid w:val="61BD518A"/>
    <w:rsid w:val="61EF4654"/>
    <w:rsid w:val="6F7624C2"/>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SimSun" w:cs="Times New Roman"/>
      <w:kern w:val="2"/>
      <w:sz w:val="28"/>
      <w:szCs w:val="22"/>
      <w:lang w:val="en-US" w:eastAsia="zh-CN" w:bidi="ar-SA"/>
    </w:rPr>
  </w:style>
  <w:style w:type="paragraph" w:styleId="3">
    <w:name w:val="heading 1"/>
    <w:basedOn w:val="1"/>
    <w:next w:val="1"/>
    <w:qFormat/>
    <w:uiPriority w:val="9"/>
    <w:pPr>
      <w:jc w:val="left"/>
      <w:outlineLvl w:val="0"/>
    </w:pPr>
    <w:rPr>
      <w:rFonts w:ascii="CenturyGothic;Segoe Print" w:hAnsi="CenturyGothic;Segoe Print"/>
      <w:b/>
      <w:sz w:val="32"/>
      <w:szCs w:val="41"/>
    </w:rPr>
  </w:style>
  <w:style w:type="paragraph" w:styleId="4">
    <w:name w:val="heading 2"/>
    <w:basedOn w:val="1"/>
    <w:next w:val="1"/>
    <w:unhideWhenUsed/>
    <w:qFormat/>
    <w:uiPriority w:val="9"/>
    <w:pPr>
      <w:keepNext/>
      <w:keepLines/>
      <w:outlineLvl w:val="1"/>
    </w:pPr>
    <w:rPr>
      <w:rFonts w:ascii="Arial" w:hAnsi="Arial" w:cs="Arial"/>
      <w:b/>
      <w:bCs/>
      <w:szCs w:val="32"/>
    </w:rPr>
  </w:style>
  <w:style w:type="paragraph" w:styleId="2">
    <w:name w:val="heading 3"/>
    <w:basedOn w:val="1"/>
    <w:next w:val="1"/>
    <w:unhideWhenUsed/>
    <w:qFormat/>
    <w:uiPriority w:val="9"/>
    <w:pPr>
      <w:keepNext/>
      <w:keepLines/>
      <w:tabs>
        <w:tab w:val="left" w:pos="0"/>
      </w:tabs>
      <w:outlineLvl w:val="2"/>
    </w:pPr>
    <w:rPr>
      <w:b/>
      <w:bCs/>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ind w:left="151"/>
    </w:pPr>
    <w:rPr>
      <w:rFonts w:ascii="宋体" w:hAnsi="宋体" w:cs="宋体"/>
      <w:szCs w:val="28"/>
      <w:lang w:val="zh-CN" w:bidi="zh-CN"/>
    </w:rPr>
  </w:style>
  <w:style w:type="paragraph" w:styleId="6">
    <w:name w:val="Balloon Text"/>
    <w:basedOn w:val="1"/>
    <w:link w:val="15"/>
    <w:semiHidden/>
    <w:unhideWhenUsed/>
    <w:qFormat/>
    <w:uiPriority w:val="99"/>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tabs>
        <w:tab w:val="center" w:pos="4153"/>
        <w:tab w:val="right" w:pos="8306"/>
      </w:tabs>
      <w:snapToGrid w:val="0"/>
    </w:pPr>
    <w:rPr>
      <w:sz w:val="18"/>
    </w:rPr>
  </w:style>
  <w:style w:type="character" w:customStyle="1" w:styleId="11">
    <w:name w:val="Internet 链接"/>
    <w:qFormat/>
    <w:uiPriority w:val="0"/>
    <w:rPr>
      <w:color w:val="0000FF"/>
      <w:u w:val="single"/>
    </w:rPr>
  </w:style>
  <w:style w:type="character" w:customStyle="1" w:styleId="12">
    <w:name w:val="索引链接"/>
    <w:basedOn w:val="10"/>
    <w:qFormat/>
    <w:uiPriority w:val="0"/>
  </w:style>
  <w:style w:type="paragraph" w:customStyle="1" w:styleId="13">
    <w:name w:val="目录 21"/>
    <w:basedOn w:val="1"/>
    <w:next w:val="1"/>
    <w:qFormat/>
    <w:uiPriority w:val="0"/>
    <w:pPr>
      <w:ind w:left="420"/>
    </w:pPr>
  </w:style>
  <w:style w:type="paragraph" w:customStyle="1" w:styleId="14">
    <w:name w:val="目录 11"/>
    <w:basedOn w:val="1"/>
    <w:next w:val="1"/>
    <w:qFormat/>
    <w:uiPriority w:val="0"/>
    <w:pPr>
      <w:tabs>
        <w:tab w:val="right" w:leader="dot" w:pos="9016"/>
      </w:tabs>
      <w:spacing w:line="480" w:lineRule="exact"/>
    </w:pPr>
  </w:style>
  <w:style w:type="character" w:customStyle="1" w:styleId="15">
    <w:name w:val="批注框文本 Char"/>
    <w:basedOn w:val="10"/>
    <w:link w:val="6"/>
    <w:semiHidden/>
    <w:qFormat/>
    <w:uiPriority w:val="99"/>
    <w:rPr>
      <w:rFonts w:ascii="Times New Roman" w:hAnsi="Times New Roman" w:eastAsia="宋体;SimSu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2504</Words>
  <Characters>14279</Characters>
  <Lines>118</Lines>
  <Paragraphs>33</Paragraphs>
  <TotalTime>8</TotalTime>
  <ScaleCrop>false</ScaleCrop>
  <LinksUpToDate>false</LinksUpToDate>
  <CharactersWithSpaces>16750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2014-04-03T16:44:00Z</dcterms:created>
  <dc:creator>系统管理员</dc:creator>
  <cp:keywords>  </cp:keywords>
  <cp:lastModifiedBy>一叶轻舟</cp:lastModifiedBy>
  <cp:lastPrinted>2021-10-11T02:38:24Z</cp:lastPrinted>
  <dcterms:modified xsi:type="dcterms:W3CDTF">2021-10-11T02:55:29Z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F8CBE30FBAED4E7DA5F40F78421905F2</vt:lpwstr>
  </property>
</Properties>
</file>