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rPr>
          <w:rFonts w:hint="eastAsia" w:ascii="方正仿宋_GBK" w:hAnsi="方正仿宋_GBK" w:eastAsia="方正仿宋_GBK" w:cs="方正小标宋简体"/>
          <w:b w:val="0"/>
          <w:bCs w:val="0"/>
          <w:color w:val="auto"/>
          <w:kern w:val="0"/>
          <w:sz w:val="44"/>
          <w:szCs w:val="44"/>
        </w:rPr>
      </w:pPr>
      <w:bookmarkStart w:id="0" w:name="_GoBack"/>
      <w:r>
        <w:rPr>
          <w:rFonts w:hint="eastAsia" w:ascii="方正小标宋简体" w:hAnsi="方正小标宋简体" w:eastAsia="方正小标宋简体" w:cs="方正小标宋简体"/>
          <w:b w:val="0"/>
          <w:bCs w:val="0"/>
          <w:color w:val="auto"/>
          <w:kern w:val="0"/>
          <w:sz w:val="40"/>
          <w:szCs w:val="44"/>
        </w:rPr>
        <w:t>202</w:t>
      </w:r>
      <w:r>
        <w:rPr>
          <w:rFonts w:hint="eastAsia" w:ascii="方正小标宋简体" w:hAnsi="方正小标宋简体" w:eastAsia="方正小标宋简体" w:cs="方正小标宋简体"/>
          <w:b w:val="0"/>
          <w:bCs w:val="0"/>
          <w:color w:val="auto"/>
          <w:kern w:val="0"/>
          <w:sz w:val="40"/>
          <w:szCs w:val="44"/>
          <w:lang w:val="en-US" w:eastAsia="zh-CN"/>
        </w:rPr>
        <w:t>2</w:t>
      </w:r>
      <w:r>
        <w:rPr>
          <w:rFonts w:hint="eastAsia" w:ascii="方正小标宋简体" w:hAnsi="方正小标宋简体" w:eastAsia="方正小标宋简体" w:cs="方正小标宋简体"/>
          <w:b w:val="0"/>
          <w:bCs w:val="0"/>
          <w:color w:val="auto"/>
          <w:kern w:val="0"/>
          <w:sz w:val="40"/>
          <w:szCs w:val="44"/>
        </w:rPr>
        <w:t>年</w:t>
      </w:r>
      <w:r>
        <w:rPr>
          <w:rFonts w:hint="eastAsia" w:ascii="方正小标宋简体" w:hAnsi="方正小标宋简体" w:eastAsia="方正小标宋简体" w:cs="方正小标宋简体"/>
          <w:b w:val="0"/>
          <w:bCs w:val="0"/>
          <w:color w:val="auto"/>
          <w:kern w:val="0"/>
          <w:sz w:val="40"/>
          <w:szCs w:val="44"/>
          <w:lang w:eastAsia="zh-CN"/>
        </w:rPr>
        <w:t>河源市</w:t>
      </w:r>
      <w:r>
        <w:rPr>
          <w:rFonts w:hint="eastAsia" w:ascii="方正小标宋简体" w:hAnsi="方正小标宋简体" w:eastAsia="方正小标宋简体" w:cs="方正小标宋简体"/>
          <w:b w:val="0"/>
          <w:bCs w:val="0"/>
          <w:color w:val="auto"/>
          <w:kern w:val="0"/>
          <w:sz w:val="40"/>
          <w:szCs w:val="44"/>
        </w:rPr>
        <w:t>农业转基因生物监管实施方案</w:t>
      </w:r>
    </w:p>
    <w:bookmarkEnd w:id="0"/>
    <w:p>
      <w:pPr>
        <w:adjustRightInd w:val="0"/>
        <w:snapToGrid w:val="0"/>
        <w:spacing w:line="590" w:lineRule="exact"/>
        <w:ind w:firstLine="640" w:firstLineChars="200"/>
        <w:rPr>
          <w:rFonts w:hint="eastAsia" w:ascii="方正仿宋_GBK" w:hAnsi="方正仿宋_GBK" w:eastAsia="方正仿宋_GBK" w:cs="仿宋_GB2312"/>
          <w:color w:val="auto"/>
          <w:kern w:val="0"/>
          <w:szCs w:val="32"/>
        </w:rPr>
      </w:pPr>
    </w:p>
    <w:p>
      <w:pPr>
        <w:adjustRightInd w:val="0"/>
        <w:snapToGrid w:val="0"/>
        <w:spacing w:line="590" w:lineRule="exact"/>
        <w:ind w:firstLine="640" w:firstLineChars="200"/>
        <w:rPr>
          <w:rFonts w:hint="eastAsia" w:ascii="方正仿宋_GBK" w:hAnsi="方正仿宋_GBK" w:eastAsia="方正仿宋_GBK" w:cs="仿宋_GB2312"/>
          <w:color w:val="auto"/>
          <w:kern w:val="0"/>
          <w:sz w:val="32"/>
          <w:szCs w:val="32"/>
        </w:rPr>
      </w:pPr>
      <w:r>
        <w:rPr>
          <w:rFonts w:hint="eastAsia" w:ascii="方正仿宋_GBK" w:hAnsi="方正仿宋_GBK" w:eastAsia="方正仿宋_GBK" w:cs="仿宋_GB2312"/>
          <w:color w:val="auto"/>
          <w:kern w:val="0"/>
          <w:sz w:val="32"/>
          <w:szCs w:val="32"/>
        </w:rPr>
        <w:t>为切实做好农业转基因生物安全监管工作，根据</w:t>
      </w:r>
      <w:r>
        <w:rPr>
          <w:rFonts w:hint="eastAsia" w:ascii="方正仿宋_GBK" w:hAnsi="方正仿宋_GBK" w:eastAsia="方正仿宋_GBK" w:cs="仿宋_GB2312"/>
          <w:color w:val="auto"/>
          <w:kern w:val="0"/>
          <w:sz w:val="32"/>
          <w:szCs w:val="32"/>
          <w:lang w:eastAsia="zh-CN"/>
        </w:rPr>
        <w:t>省农业农村厅办公室印发的</w:t>
      </w:r>
      <w:r>
        <w:rPr>
          <w:rFonts w:hint="eastAsia" w:ascii="方正仿宋_GBK" w:hAnsi="方正仿宋_GBK" w:eastAsia="方正仿宋_GBK" w:cs="仿宋_GB2312"/>
          <w:color w:val="auto"/>
          <w:kern w:val="0"/>
          <w:sz w:val="32"/>
          <w:szCs w:val="32"/>
          <w:lang w:val="en-US" w:eastAsia="zh-CN" w:bidi="ar"/>
        </w:rPr>
        <w:t>《2022年广东省农业转基因生物监管实施方案》</w:t>
      </w:r>
      <w:r>
        <w:rPr>
          <w:rFonts w:hint="eastAsia" w:ascii="方正仿宋_GBK" w:hAnsi="方正仿宋_GBK" w:eastAsia="方正仿宋_GBK" w:cs="仿宋_GB2312"/>
          <w:color w:val="auto"/>
          <w:kern w:val="0"/>
          <w:sz w:val="32"/>
          <w:szCs w:val="32"/>
        </w:rPr>
        <w:t>的要求，制订</w:t>
      </w:r>
      <w:r>
        <w:rPr>
          <w:rFonts w:hint="eastAsia" w:ascii="方正仿宋_GBK" w:hAnsi="方正仿宋_GBK" w:eastAsia="方正仿宋_GBK" w:cs="仿宋_GB2312"/>
          <w:color w:val="auto"/>
          <w:kern w:val="0"/>
          <w:sz w:val="32"/>
          <w:szCs w:val="32"/>
          <w:lang w:eastAsia="zh-CN"/>
        </w:rPr>
        <w:t>本</w:t>
      </w:r>
      <w:r>
        <w:rPr>
          <w:rFonts w:hint="eastAsia" w:ascii="方正仿宋_GBK" w:hAnsi="方正仿宋_GBK" w:eastAsia="方正仿宋_GBK" w:cs="仿宋_GB2312"/>
          <w:color w:val="auto"/>
          <w:kern w:val="0"/>
          <w:sz w:val="32"/>
          <w:szCs w:val="32"/>
        </w:rPr>
        <w:t>实施方案</w:t>
      </w:r>
      <w:r>
        <w:rPr>
          <w:rFonts w:hint="eastAsia" w:ascii="方正仿宋_GBK" w:hAnsi="方正仿宋_GBK" w:eastAsia="方正仿宋_GBK" w:cs="仿宋_GB2312"/>
          <w:color w:val="auto"/>
          <w:kern w:val="0"/>
          <w:sz w:val="32"/>
          <w:szCs w:val="32"/>
          <w:lang w:eastAsia="zh-CN"/>
        </w:rPr>
        <w:t>。</w:t>
      </w:r>
    </w:p>
    <w:p>
      <w:pPr>
        <w:adjustRightInd w:val="0"/>
        <w:snapToGrid w:val="0"/>
        <w:spacing w:line="590" w:lineRule="exact"/>
        <w:ind w:firstLine="640" w:firstLineChars="200"/>
        <w:rPr>
          <w:rFonts w:hint="eastAsia" w:ascii="方正黑体_GBK" w:hAnsi="方正黑体_GBK" w:eastAsia="方正黑体_GBK" w:cs="黑体"/>
          <w:b w:val="0"/>
          <w:bCs w:val="0"/>
          <w:color w:val="auto"/>
          <w:kern w:val="0"/>
          <w:sz w:val="32"/>
          <w:szCs w:val="32"/>
        </w:rPr>
      </w:pPr>
      <w:r>
        <w:rPr>
          <w:rFonts w:hint="eastAsia" w:ascii="方正黑体_GBK" w:hAnsi="方正黑体_GBK" w:eastAsia="方正黑体_GBK" w:cs="黑体"/>
          <w:b w:val="0"/>
          <w:bCs w:val="0"/>
          <w:color w:val="auto"/>
          <w:kern w:val="0"/>
          <w:sz w:val="32"/>
          <w:szCs w:val="32"/>
        </w:rPr>
        <w:t>一、工作思路</w:t>
      </w:r>
    </w:p>
    <w:p>
      <w:pPr>
        <w:adjustRightInd w:val="0"/>
        <w:snapToGrid w:val="0"/>
        <w:spacing w:line="590" w:lineRule="exact"/>
        <w:ind w:firstLine="640" w:firstLineChars="200"/>
        <w:rPr>
          <w:rFonts w:hint="eastAsia" w:ascii="方正仿宋_GBK" w:hAnsi="方正仿宋_GBK" w:eastAsia="方正仿宋_GBK" w:cs="仿宋_GB2312"/>
          <w:color w:val="auto"/>
          <w:kern w:val="0"/>
          <w:sz w:val="32"/>
          <w:szCs w:val="32"/>
          <w:lang w:val="en-US" w:eastAsia="zh-CN"/>
        </w:rPr>
      </w:pPr>
      <w:r>
        <w:rPr>
          <w:rFonts w:hint="eastAsia" w:ascii="方正仿宋_GBK" w:hAnsi="方正仿宋_GBK" w:eastAsia="方正仿宋_GBK" w:cs="仿宋_GB2312"/>
          <w:color w:val="auto"/>
          <w:kern w:val="0"/>
          <w:sz w:val="32"/>
          <w:szCs w:val="32"/>
          <w:lang w:val="en-US" w:eastAsia="zh-CN"/>
        </w:rPr>
        <w:t>按照党中央“尊重科学、严格监管，有序推进生物育种产业化应用”的部署要求，着力提升转基因生物监管能力，优化监督管理措施，加强监督检查，严肃案件查处，严厉打击转基因生物非法制种、非法种植等违法违规行为，确保各项法律法规有效贯彻执行，为生物育种产业化发展营造健康有序的环境。</w:t>
      </w:r>
    </w:p>
    <w:p>
      <w:pPr>
        <w:adjustRightInd w:val="0"/>
        <w:snapToGrid w:val="0"/>
        <w:spacing w:line="590" w:lineRule="exact"/>
        <w:ind w:firstLine="640" w:firstLineChars="200"/>
        <w:rPr>
          <w:rFonts w:hint="eastAsia" w:ascii="方正黑体_GBK" w:hAnsi="方正黑体_GBK" w:eastAsia="方正黑体_GBK" w:cs="黑体"/>
          <w:b w:val="0"/>
          <w:bCs w:val="0"/>
          <w:color w:val="auto"/>
          <w:kern w:val="0"/>
          <w:sz w:val="32"/>
          <w:szCs w:val="32"/>
        </w:rPr>
      </w:pPr>
      <w:r>
        <w:rPr>
          <w:rFonts w:hint="eastAsia" w:ascii="方正黑体_GBK" w:hAnsi="方正黑体_GBK" w:eastAsia="方正黑体_GBK" w:cs="黑体"/>
          <w:b w:val="0"/>
          <w:bCs w:val="0"/>
          <w:color w:val="auto"/>
          <w:kern w:val="0"/>
          <w:sz w:val="32"/>
          <w:szCs w:val="32"/>
          <w:lang w:eastAsia="zh-CN"/>
        </w:rPr>
        <w:t>二、</w:t>
      </w:r>
      <w:r>
        <w:rPr>
          <w:rFonts w:hint="eastAsia" w:ascii="方正黑体_GBK" w:hAnsi="方正黑体_GBK" w:eastAsia="方正黑体_GBK" w:cs="黑体"/>
          <w:b w:val="0"/>
          <w:bCs w:val="0"/>
          <w:color w:val="auto"/>
          <w:kern w:val="0"/>
          <w:sz w:val="32"/>
          <w:szCs w:val="32"/>
        </w:rPr>
        <w:t>工作目标</w:t>
      </w:r>
    </w:p>
    <w:p>
      <w:pPr>
        <w:adjustRightInd w:val="0"/>
        <w:snapToGrid w:val="0"/>
        <w:spacing w:line="590" w:lineRule="exact"/>
        <w:ind w:firstLine="640" w:firstLineChars="200"/>
        <w:rPr>
          <w:rFonts w:hint="eastAsia" w:ascii="方正仿宋_GBK" w:hAnsi="方正仿宋_GBK" w:eastAsia="方正仿宋_GBK" w:cs="仿宋_GB2312"/>
          <w:color w:val="auto"/>
          <w:kern w:val="0"/>
          <w:sz w:val="32"/>
          <w:szCs w:val="32"/>
          <w:lang w:val="en-US" w:eastAsia="zh-CN"/>
        </w:rPr>
      </w:pPr>
      <w:r>
        <w:rPr>
          <w:rFonts w:hint="eastAsia" w:ascii="方正仿宋_GBK" w:hAnsi="方正仿宋_GBK" w:eastAsia="方正仿宋_GBK" w:cs="仿宋_GB2312"/>
          <w:color w:val="auto"/>
          <w:kern w:val="0"/>
          <w:sz w:val="32"/>
          <w:szCs w:val="32"/>
        </w:rPr>
        <w:t>不断健全农业转基因监管体系队伍，监管能力不断提升，农业转基因研究、试验、生产、经营、进口、加工活动规范有序。各</w:t>
      </w:r>
      <w:r>
        <w:rPr>
          <w:rFonts w:hint="eastAsia" w:ascii="方正仿宋_GBK" w:hAnsi="方正仿宋_GBK" w:eastAsia="方正仿宋_GBK" w:cs="仿宋_GB2312"/>
          <w:color w:val="auto"/>
          <w:kern w:val="0"/>
          <w:sz w:val="32"/>
          <w:szCs w:val="32"/>
          <w:lang w:val="en-US" w:eastAsia="zh-CN" w:bidi="ar"/>
        </w:rPr>
        <w:t>县区</w:t>
      </w:r>
      <w:r>
        <w:rPr>
          <w:rFonts w:hint="eastAsia" w:ascii="方正仿宋_GBK" w:hAnsi="方正仿宋_GBK" w:eastAsia="方正仿宋_GBK" w:cs="仿宋_GB2312"/>
          <w:color w:val="auto"/>
          <w:kern w:val="0"/>
          <w:sz w:val="32"/>
          <w:szCs w:val="32"/>
        </w:rPr>
        <w:t>农业农村</w:t>
      </w:r>
      <w:r>
        <w:rPr>
          <w:rFonts w:hint="eastAsia" w:ascii="方正仿宋_GBK" w:hAnsi="方正仿宋_GBK" w:eastAsia="方正仿宋_GBK" w:cs="仿宋_GB2312"/>
          <w:color w:val="auto"/>
          <w:kern w:val="0"/>
          <w:sz w:val="32"/>
          <w:szCs w:val="32"/>
          <w:lang w:eastAsia="zh-CN"/>
        </w:rPr>
        <w:t>管理</w:t>
      </w:r>
      <w:r>
        <w:rPr>
          <w:rFonts w:hint="eastAsia" w:ascii="方正仿宋_GBK" w:hAnsi="方正仿宋_GBK" w:eastAsia="方正仿宋_GBK" w:cs="仿宋_GB2312"/>
          <w:color w:val="auto"/>
          <w:kern w:val="0"/>
          <w:sz w:val="32"/>
          <w:szCs w:val="32"/>
        </w:rPr>
        <w:t>部门的年度工作目标：</w:t>
      </w:r>
      <w:r>
        <w:rPr>
          <w:rFonts w:hint="eastAsia" w:ascii="方正仿宋_GBK" w:hAnsi="方正仿宋_GBK" w:eastAsia="方正仿宋_GBK" w:cs="仿宋_GB2312"/>
          <w:color w:val="auto"/>
          <w:kern w:val="0"/>
          <w:sz w:val="32"/>
          <w:szCs w:val="32"/>
          <w:lang w:val="en-US" w:eastAsia="zh-CN"/>
        </w:rPr>
        <w:t>一是要切实做到监管能力上水平，积极推动将农业转基因生物监管工作纳入政府重要议事日程，为相关支出争取政府专项预算；二是要强化指导增强实效，制定印发农业转基因生物监管方案，开展农业转基因生物监管工作，指导从业主体办理农业转基因生物加工许可证，加大科普宣传和普法工作力度；三是要严格检查抓落实，对申请农业转基因生物试验的基地检查覆盖率达到100%，对辖区内农业转基因生物研究试验和加工企业现场检查覆盖率达到100%，对我市企业在省外设立制种基地的田间抽样检测工作覆盖率达到100%。</w:t>
      </w:r>
    </w:p>
    <w:p>
      <w:pPr>
        <w:adjustRightInd w:val="0"/>
        <w:snapToGrid w:val="0"/>
        <w:spacing w:line="590" w:lineRule="exact"/>
        <w:ind w:firstLine="640" w:firstLineChars="200"/>
        <w:rPr>
          <w:rFonts w:hint="eastAsia" w:ascii="方正黑体_GBK" w:hAnsi="方正黑体_GBK" w:eastAsia="方正黑体_GBK" w:cs="黑体"/>
          <w:b w:val="0"/>
          <w:bCs w:val="0"/>
          <w:color w:val="auto"/>
          <w:kern w:val="0"/>
          <w:sz w:val="32"/>
          <w:szCs w:val="32"/>
        </w:rPr>
      </w:pPr>
      <w:r>
        <w:rPr>
          <w:rFonts w:hint="eastAsia" w:ascii="方正黑体_GBK" w:hAnsi="方正黑体_GBK" w:eastAsia="方正黑体_GBK" w:cs="黑体"/>
          <w:b w:val="0"/>
          <w:bCs w:val="0"/>
          <w:color w:val="auto"/>
          <w:kern w:val="0"/>
          <w:sz w:val="32"/>
          <w:szCs w:val="32"/>
          <w:lang w:eastAsia="zh-CN"/>
        </w:rPr>
        <w:t>三</w:t>
      </w:r>
      <w:r>
        <w:rPr>
          <w:rFonts w:hint="eastAsia" w:ascii="方正黑体_GBK" w:hAnsi="方正黑体_GBK" w:eastAsia="方正黑体_GBK" w:cs="黑体"/>
          <w:b w:val="0"/>
          <w:bCs w:val="0"/>
          <w:color w:val="auto"/>
          <w:kern w:val="0"/>
          <w:sz w:val="32"/>
          <w:szCs w:val="32"/>
        </w:rPr>
        <w:t>、监管重点</w:t>
      </w:r>
    </w:p>
    <w:p>
      <w:pPr>
        <w:adjustRightInd w:val="0"/>
        <w:snapToGrid w:val="0"/>
        <w:spacing w:line="590" w:lineRule="exact"/>
        <w:ind w:firstLine="640" w:firstLineChars="200"/>
        <w:rPr>
          <w:rFonts w:hint="eastAsia" w:ascii="方正仿宋_GBK" w:hAnsi="方正仿宋_GBK" w:eastAsia="方正仿宋_GBK" w:cs="仿宋_GB2312"/>
          <w:color w:val="auto"/>
          <w:kern w:val="0"/>
          <w:sz w:val="32"/>
          <w:szCs w:val="32"/>
        </w:rPr>
      </w:pPr>
      <w:r>
        <w:rPr>
          <w:rFonts w:hint="eastAsia" w:ascii="方正楷体_GBK" w:hAnsi="方正楷体_GBK" w:eastAsia="方正楷体_GBK" w:cs="楷体_GB2312"/>
          <w:color w:val="auto"/>
          <w:kern w:val="0"/>
          <w:sz w:val="32"/>
          <w:szCs w:val="32"/>
        </w:rPr>
        <w:t>（</w:t>
      </w:r>
      <w:r>
        <w:rPr>
          <w:rFonts w:hint="eastAsia" w:ascii="方正楷体_GBK" w:hAnsi="方正楷体_GBK" w:eastAsia="方正楷体_GBK" w:cs="楷体_GB2312"/>
          <w:color w:val="auto"/>
          <w:kern w:val="0"/>
          <w:sz w:val="32"/>
          <w:szCs w:val="32"/>
          <w:lang w:eastAsia="zh-CN"/>
        </w:rPr>
        <w:t>一</w:t>
      </w:r>
      <w:r>
        <w:rPr>
          <w:rFonts w:hint="eastAsia" w:ascii="方正楷体_GBK" w:hAnsi="方正楷体_GBK" w:eastAsia="方正楷体_GBK" w:cs="楷体_GB2312"/>
          <w:color w:val="auto"/>
          <w:kern w:val="0"/>
          <w:sz w:val="32"/>
          <w:szCs w:val="32"/>
        </w:rPr>
        <w:t>）加强</w:t>
      </w:r>
      <w:r>
        <w:rPr>
          <w:rFonts w:hint="eastAsia" w:ascii="方正楷体_GBK" w:hAnsi="方正楷体_GBK" w:eastAsia="方正楷体_GBK" w:cs="楷体_GB2312"/>
          <w:color w:val="auto"/>
          <w:kern w:val="0"/>
          <w:sz w:val="32"/>
          <w:szCs w:val="32"/>
          <w:lang w:eastAsia="zh-CN"/>
        </w:rPr>
        <w:t>转基因生物</w:t>
      </w:r>
      <w:r>
        <w:rPr>
          <w:rFonts w:hint="eastAsia" w:ascii="方正楷体_GBK" w:hAnsi="方正楷体_GBK" w:eastAsia="方正楷体_GBK" w:cs="楷体_GB2312"/>
          <w:color w:val="auto"/>
          <w:kern w:val="0"/>
          <w:sz w:val="32"/>
          <w:szCs w:val="32"/>
        </w:rPr>
        <w:t>研究试验监管。</w:t>
      </w:r>
      <w:r>
        <w:rPr>
          <w:rFonts w:hint="eastAsia" w:ascii="方正仿宋_GBK" w:hAnsi="方正仿宋_GBK" w:eastAsia="方正仿宋_GBK" w:cs="仿宋_GB2312"/>
          <w:color w:val="auto"/>
          <w:kern w:val="0"/>
          <w:sz w:val="32"/>
          <w:szCs w:val="32"/>
        </w:rPr>
        <w:t>对农业转基因研发单位全覆盖检查，严查中间试验是否依法报告，环境释放和生产性试验是否依法报批，基因编辑等新育种技术研究、中外合作研究试验是否依法开展。对农业转基因试验全程监管，试验前核查控制条件是否合规，试验中检查控制措施是否落实到位以及试验材料可追溯管理情况，试验后检查收获物、残余物等管理情况。</w:t>
      </w:r>
    </w:p>
    <w:p>
      <w:pPr>
        <w:adjustRightInd w:val="0"/>
        <w:snapToGrid w:val="0"/>
        <w:spacing w:line="590" w:lineRule="exact"/>
        <w:ind w:firstLine="640" w:firstLineChars="200"/>
        <w:rPr>
          <w:rFonts w:hint="eastAsia" w:ascii="方正仿宋_GBK" w:hAnsi="方正仿宋_GBK" w:eastAsia="方正仿宋_GBK" w:cs="仿宋_GB2312"/>
          <w:color w:val="auto"/>
          <w:kern w:val="0"/>
          <w:sz w:val="32"/>
          <w:szCs w:val="32"/>
        </w:rPr>
      </w:pPr>
      <w:r>
        <w:rPr>
          <w:rFonts w:hint="eastAsia" w:ascii="方正楷体_GBK" w:hAnsi="方正楷体_GBK" w:eastAsia="方正楷体_GBK" w:cs="楷体_GB2312"/>
          <w:color w:val="auto"/>
          <w:kern w:val="0"/>
          <w:sz w:val="32"/>
          <w:szCs w:val="32"/>
        </w:rPr>
        <w:t>（</w:t>
      </w:r>
      <w:r>
        <w:rPr>
          <w:rFonts w:hint="eastAsia" w:ascii="方正楷体_GBK" w:hAnsi="方正楷体_GBK" w:eastAsia="方正楷体_GBK" w:cs="楷体_GB2312"/>
          <w:color w:val="auto"/>
          <w:kern w:val="0"/>
          <w:sz w:val="32"/>
          <w:szCs w:val="32"/>
          <w:lang w:eastAsia="zh-CN"/>
        </w:rPr>
        <w:t>二</w:t>
      </w:r>
      <w:r>
        <w:rPr>
          <w:rFonts w:hint="eastAsia" w:ascii="方正楷体_GBK" w:hAnsi="方正楷体_GBK" w:eastAsia="方正楷体_GBK" w:cs="楷体_GB2312"/>
          <w:color w:val="auto"/>
          <w:kern w:val="0"/>
          <w:sz w:val="32"/>
          <w:szCs w:val="32"/>
        </w:rPr>
        <w:t>）加强南繁基地</w:t>
      </w:r>
      <w:r>
        <w:rPr>
          <w:rFonts w:hint="eastAsia" w:ascii="方正楷体_GBK" w:hAnsi="方正楷体_GBK" w:eastAsia="方正楷体_GBK" w:cs="楷体_GB2312"/>
          <w:color w:val="auto"/>
          <w:kern w:val="0"/>
          <w:sz w:val="32"/>
          <w:szCs w:val="32"/>
          <w:lang w:eastAsia="zh-CN"/>
        </w:rPr>
        <w:t>转基因生物</w:t>
      </w:r>
      <w:r>
        <w:rPr>
          <w:rFonts w:hint="eastAsia" w:ascii="方正楷体_GBK" w:hAnsi="方正楷体_GBK" w:eastAsia="方正楷体_GBK" w:cs="楷体_GB2312"/>
          <w:color w:val="auto"/>
          <w:kern w:val="0"/>
          <w:sz w:val="32"/>
          <w:szCs w:val="32"/>
        </w:rPr>
        <w:t>监管。</w:t>
      </w:r>
      <w:r>
        <w:rPr>
          <w:rFonts w:hint="eastAsia" w:ascii="方正仿宋_GBK" w:hAnsi="方正仿宋_GBK" w:eastAsia="方正仿宋_GBK" w:cs="仿宋_GB2312"/>
          <w:color w:val="auto"/>
          <w:kern w:val="0"/>
          <w:sz w:val="32"/>
          <w:szCs w:val="32"/>
        </w:rPr>
        <w:t>对</w:t>
      </w:r>
      <w:r>
        <w:rPr>
          <w:rFonts w:hint="eastAsia" w:ascii="方正仿宋_GBK" w:hAnsi="方正仿宋_GBK" w:eastAsia="方正仿宋_GBK" w:cs="仿宋_GB2312"/>
          <w:color w:val="auto"/>
          <w:kern w:val="0"/>
          <w:sz w:val="32"/>
          <w:szCs w:val="32"/>
          <w:lang w:eastAsia="zh-CN"/>
        </w:rPr>
        <w:t>我市</w:t>
      </w:r>
      <w:r>
        <w:rPr>
          <w:rFonts w:hint="eastAsia" w:ascii="方正仿宋_GBK" w:hAnsi="方正仿宋_GBK" w:eastAsia="方正仿宋_GBK" w:cs="仿宋_GB2312"/>
          <w:color w:val="auto"/>
          <w:kern w:val="0"/>
          <w:sz w:val="32"/>
          <w:szCs w:val="32"/>
        </w:rPr>
        <w:t>科研单位和制种企业在南繁基地的试验育种和繁制种开展全覆盖</w:t>
      </w:r>
      <w:r>
        <w:rPr>
          <w:rFonts w:hint="eastAsia" w:ascii="方正仿宋_GBK" w:hAnsi="方正仿宋_GBK" w:eastAsia="方正仿宋_GBK" w:cs="仿宋_GB2312"/>
          <w:color w:val="auto"/>
          <w:kern w:val="0"/>
          <w:sz w:val="32"/>
          <w:szCs w:val="32"/>
          <w:lang w:eastAsia="zh-CN"/>
        </w:rPr>
        <w:t>转基因</w:t>
      </w:r>
      <w:r>
        <w:rPr>
          <w:rFonts w:hint="eastAsia" w:ascii="方正仿宋_GBK" w:hAnsi="方正仿宋_GBK" w:eastAsia="方正仿宋_GBK" w:cs="仿宋_GB2312"/>
          <w:color w:val="auto"/>
          <w:kern w:val="0"/>
          <w:sz w:val="32"/>
          <w:szCs w:val="32"/>
        </w:rPr>
        <w:t>检测，加</w:t>
      </w:r>
      <w:r>
        <w:rPr>
          <w:rFonts w:hint="eastAsia" w:ascii="方正仿宋_GBK" w:hAnsi="方正仿宋_GBK" w:eastAsia="方正仿宋_GBK" w:cs="仿宋_GB2312"/>
          <w:color w:val="auto"/>
          <w:kern w:val="0"/>
          <w:sz w:val="32"/>
          <w:szCs w:val="32"/>
          <w:lang w:eastAsia="zh-CN"/>
        </w:rPr>
        <w:t>大</w:t>
      </w:r>
      <w:r>
        <w:rPr>
          <w:rFonts w:hint="eastAsia" w:ascii="方正仿宋_GBK" w:hAnsi="方正仿宋_GBK" w:eastAsia="方正仿宋_GBK" w:cs="仿宋_GB2312"/>
          <w:color w:val="auto"/>
          <w:kern w:val="0"/>
          <w:sz w:val="32"/>
          <w:szCs w:val="32"/>
        </w:rPr>
        <w:t>南繁基地</w:t>
      </w:r>
      <w:r>
        <w:rPr>
          <w:rFonts w:hint="eastAsia" w:ascii="方正仿宋_GBK" w:hAnsi="方正仿宋_GBK" w:eastAsia="方正仿宋_GBK" w:cs="仿宋_GB2312"/>
          <w:color w:val="auto"/>
          <w:kern w:val="0"/>
          <w:sz w:val="32"/>
          <w:szCs w:val="32"/>
          <w:lang w:eastAsia="zh-CN"/>
        </w:rPr>
        <w:t>转基因生物</w:t>
      </w:r>
      <w:r>
        <w:rPr>
          <w:rFonts w:hint="eastAsia" w:ascii="方正仿宋_GBK" w:hAnsi="方正仿宋_GBK" w:eastAsia="方正仿宋_GBK" w:cs="仿宋_GB2312"/>
          <w:color w:val="auto"/>
          <w:kern w:val="0"/>
          <w:sz w:val="32"/>
          <w:szCs w:val="32"/>
        </w:rPr>
        <w:t>抽检密度和频次，严查私自开展</w:t>
      </w:r>
      <w:r>
        <w:rPr>
          <w:rFonts w:hint="eastAsia" w:ascii="方正仿宋_GBK" w:hAnsi="方正仿宋_GBK" w:eastAsia="方正仿宋_GBK" w:cs="仿宋_GB2312"/>
          <w:color w:val="auto"/>
          <w:kern w:val="0"/>
          <w:sz w:val="32"/>
          <w:szCs w:val="32"/>
          <w:lang w:eastAsia="zh-CN"/>
        </w:rPr>
        <w:t>农业转基因</w:t>
      </w:r>
      <w:r>
        <w:rPr>
          <w:rFonts w:hint="eastAsia" w:ascii="方正仿宋_GBK" w:hAnsi="方正仿宋_GBK" w:eastAsia="方正仿宋_GBK" w:cs="仿宋_GB2312"/>
          <w:color w:val="auto"/>
          <w:kern w:val="0"/>
          <w:sz w:val="32"/>
          <w:szCs w:val="32"/>
        </w:rPr>
        <w:t>试验和育繁种行为，坚决铲除违规</w:t>
      </w:r>
      <w:r>
        <w:rPr>
          <w:rFonts w:hint="eastAsia" w:ascii="方正仿宋_GBK" w:hAnsi="方正仿宋_GBK" w:eastAsia="方正仿宋_GBK" w:cs="仿宋_GB2312"/>
          <w:color w:val="auto"/>
          <w:kern w:val="0"/>
          <w:sz w:val="32"/>
          <w:szCs w:val="32"/>
          <w:lang w:eastAsia="zh-CN"/>
        </w:rPr>
        <w:t>转基因</w:t>
      </w:r>
      <w:r>
        <w:rPr>
          <w:rFonts w:hint="eastAsia" w:ascii="方正仿宋_GBK" w:hAnsi="方正仿宋_GBK" w:eastAsia="方正仿宋_GBK" w:cs="仿宋_GB2312"/>
          <w:color w:val="auto"/>
          <w:kern w:val="0"/>
          <w:sz w:val="32"/>
          <w:szCs w:val="32"/>
        </w:rPr>
        <w:t>试验和育繁种材料。对违规单位严肃约谈，</w:t>
      </w:r>
      <w:r>
        <w:rPr>
          <w:rFonts w:hint="eastAsia" w:ascii="方正仿宋_GBK" w:hAnsi="方正仿宋_GBK" w:eastAsia="方正仿宋_GBK" w:cs="仿宋_GB2312"/>
          <w:color w:val="auto"/>
          <w:kern w:val="0"/>
          <w:sz w:val="32"/>
          <w:szCs w:val="32"/>
          <w:lang w:eastAsia="zh-CN"/>
        </w:rPr>
        <w:t>公开通报，</w:t>
      </w:r>
      <w:r>
        <w:rPr>
          <w:rFonts w:hint="eastAsia" w:ascii="方正仿宋_GBK" w:hAnsi="方正仿宋_GBK" w:eastAsia="方正仿宋_GBK" w:cs="仿宋_GB2312"/>
          <w:color w:val="auto"/>
          <w:kern w:val="0"/>
          <w:sz w:val="32"/>
          <w:szCs w:val="32"/>
        </w:rPr>
        <w:t>责令整改。</w:t>
      </w:r>
    </w:p>
    <w:p>
      <w:pPr>
        <w:adjustRightInd w:val="0"/>
        <w:snapToGrid w:val="0"/>
        <w:spacing w:line="590" w:lineRule="exact"/>
        <w:ind w:firstLine="640" w:firstLineChars="200"/>
        <w:rPr>
          <w:rFonts w:hint="eastAsia" w:ascii="方正仿宋_GBK" w:hAnsi="方正仿宋_GBK" w:eastAsia="方正仿宋_GBK" w:cs="仿宋_GB2312"/>
          <w:color w:val="auto"/>
          <w:kern w:val="0"/>
          <w:sz w:val="32"/>
          <w:szCs w:val="32"/>
        </w:rPr>
      </w:pPr>
      <w:r>
        <w:rPr>
          <w:rFonts w:hint="eastAsia" w:ascii="方正楷体_GBK" w:hAnsi="方正楷体_GBK" w:eastAsia="方正楷体_GBK" w:cs="楷体_GB2312"/>
          <w:color w:val="auto"/>
          <w:kern w:val="0"/>
          <w:sz w:val="32"/>
          <w:szCs w:val="32"/>
        </w:rPr>
        <w:t>（</w:t>
      </w:r>
      <w:r>
        <w:rPr>
          <w:rFonts w:hint="eastAsia" w:ascii="方正楷体_GBK" w:hAnsi="方正楷体_GBK" w:eastAsia="方正楷体_GBK" w:cs="楷体_GB2312"/>
          <w:color w:val="auto"/>
          <w:kern w:val="0"/>
          <w:sz w:val="32"/>
          <w:szCs w:val="32"/>
          <w:lang w:eastAsia="zh-CN"/>
        </w:rPr>
        <w:t>三</w:t>
      </w:r>
      <w:r>
        <w:rPr>
          <w:rFonts w:hint="eastAsia" w:ascii="方正楷体_GBK" w:hAnsi="方正楷体_GBK" w:eastAsia="方正楷体_GBK" w:cs="楷体_GB2312"/>
          <w:color w:val="auto"/>
          <w:kern w:val="0"/>
          <w:sz w:val="32"/>
          <w:szCs w:val="32"/>
        </w:rPr>
        <w:t>）加强品种审定</w:t>
      </w:r>
      <w:r>
        <w:rPr>
          <w:rFonts w:hint="eastAsia" w:ascii="方正楷体_GBK" w:hAnsi="方正楷体_GBK" w:eastAsia="方正楷体_GBK" w:cs="楷体_GB2312"/>
          <w:color w:val="auto"/>
          <w:kern w:val="0"/>
          <w:sz w:val="32"/>
          <w:szCs w:val="32"/>
          <w:lang w:eastAsia="zh-CN"/>
        </w:rPr>
        <w:t>环节转基因生物</w:t>
      </w:r>
      <w:r>
        <w:rPr>
          <w:rFonts w:hint="eastAsia" w:ascii="方正楷体_GBK" w:hAnsi="方正楷体_GBK" w:eastAsia="方正楷体_GBK" w:cs="楷体_GB2312"/>
          <w:color w:val="auto"/>
          <w:kern w:val="0"/>
          <w:sz w:val="32"/>
          <w:szCs w:val="32"/>
        </w:rPr>
        <w:t>监管。</w:t>
      </w:r>
      <w:r>
        <w:rPr>
          <w:rFonts w:hint="eastAsia" w:ascii="方正仿宋_GBK" w:hAnsi="方正仿宋_GBK" w:eastAsia="方正仿宋_GBK" w:cs="仿宋_GB2312"/>
          <w:color w:val="auto"/>
          <w:kern w:val="0"/>
          <w:sz w:val="32"/>
          <w:szCs w:val="32"/>
        </w:rPr>
        <w:t>完善转基因大豆玉米棉花等品种管理，畅通产业化应用通道。严防转基因品种冒充非转基因品种进行审定，对未获得转基因生物生产应用安全证书的一律不得进行区域试验和品种审定。申请单位应确保品种不含未经批准的转基因成分，品种试验组织单位应进行转基因检测，发现含有未经批准转基因成分的，立即终止试验并严肃处理。</w:t>
      </w:r>
    </w:p>
    <w:p>
      <w:pPr>
        <w:adjustRightInd w:val="0"/>
        <w:snapToGrid w:val="0"/>
        <w:spacing w:line="590" w:lineRule="exact"/>
        <w:ind w:firstLine="640" w:firstLineChars="200"/>
        <w:rPr>
          <w:rFonts w:hint="eastAsia" w:ascii="方正仿宋_GBK" w:hAnsi="方正仿宋_GBK" w:eastAsia="方正仿宋_GBK" w:cs="仿宋_GB2312"/>
          <w:color w:val="auto"/>
          <w:kern w:val="0"/>
          <w:sz w:val="32"/>
          <w:szCs w:val="32"/>
        </w:rPr>
      </w:pPr>
      <w:r>
        <w:rPr>
          <w:rFonts w:hint="eastAsia" w:ascii="方正楷体_GBK" w:hAnsi="方正楷体_GBK" w:eastAsia="方正楷体_GBK" w:cs="楷体_GB2312"/>
          <w:color w:val="auto"/>
          <w:kern w:val="0"/>
          <w:sz w:val="32"/>
          <w:szCs w:val="32"/>
        </w:rPr>
        <w:t>（</w:t>
      </w:r>
      <w:r>
        <w:rPr>
          <w:rFonts w:hint="eastAsia" w:ascii="方正楷体_GBK" w:hAnsi="方正楷体_GBK" w:eastAsia="方正楷体_GBK" w:cs="楷体_GB2312"/>
          <w:color w:val="auto"/>
          <w:kern w:val="0"/>
          <w:sz w:val="32"/>
          <w:szCs w:val="32"/>
          <w:lang w:eastAsia="zh-CN"/>
        </w:rPr>
        <w:t>四</w:t>
      </w:r>
      <w:r>
        <w:rPr>
          <w:rFonts w:hint="eastAsia" w:ascii="方正楷体_GBK" w:hAnsi="方正楷体_GBK" w:eastAsia="方正楷体_GBK" w:cs="楷体_GB2312"/>
          <w:color w:val="auto"/>
          <w:kern w:val="0"/>
          <w:sz w:val="32"/>
          <w:szCs w:val="32"/>
        </w:rPr>
        <w:t>）强化</w:t>
      </w:r>
      <w:r>
        <w:rPr>
          <w:rFonts w:hint="eastAsia" w:ascii="方正楷体_GBK" w:hAnsi="方正楷体_GBK" w:eastAsia="方正楷体_GBK" w:cs="楷体_GB2312"/>
          <w:color w:val="auto"/>
          <w:kern w:val="0"/>
          <w:sz w:val="32"/>
          <w:szCs w:val="32"/>
          <w:lang w:eastAsia="zh-CN"/>
        </w:rPr>
        <w:t>转基因</w:t>
      </w:r>
      <w:r>
        <w:rPr>
          <w:rFonts w:hint="eastAsia" w:ascii="方正楷体_GBK" w:hAnsi="方正楷体_GBK" w:eastAsia="方正楷体_GBK" w:cs="楷体_GB2312"/>
          <w:color w:val="auto"/>
          <w:kern w:val="0"/>
          <w:sz w:val="32"/>
          <w:szCs w:val="32"/>
        </w:rPr>
        <w:t>种子生产经营监管。</w:t>
      </w:r>
      <w:r>
        <w:rPr>
          <w:rFonts w:hint="eastAsia" w:ascii="方正仿宋_GBK" w:hAnsi="方正仿宋_GBK" w:eastAsia="方正仿宋_GBK" w:cs="仿宋_GB2312"/>
          <w:color w:val="auto"/>
          <w:kern w:val="0"/>
          <w:sz w:val="32"/>
          <w:szCs w:val="32"/>
        </w:rPr>
        <w:t>加强对种子生产基地及疑似种子生产田的排查力度，在种子下地前和苗期及时开展</w:t>
      </w:r>
      <w:r>
        <w:rPr>
          <w:rFonts w:hint="eastAsia" w:ascii="方正仿宋_GBK" w:hAnsi="方正仿宋_GBK" w:eastAsia="方正仿宋_GBK" w:cs="仿宋_GB2312"/>
          <w:color w:val="auto"/>
          <w:kern w:val="0"/>
          <w:sz w:val="32"/>
          <w:szCs w:val="32"/>
          <w:lang w:eastAsia="zh-CN"/>
        </w:rPr>
        <w:t>转基因</w:t>
      </w:r>
      <w:r>
        <w:rPr>
          <w:rFonts w:hint="eastAsia" w:ascii="方正仿宋_GBK" w:hAnsi="方正仿宋_GBK" w:eastAsia="方正仿宋_GBK" w:cs="仿宋_GB2312"/>
          <w:color w:val="auto"/>
          <w:kern w:val="0"/>
          <w:sz w:val="32"/>
          <w:szCs w:val="32"/>
        </w:rPr>
        <w:t>检测，查早查小，防止非法转基因种子下地。加大种子</w:t>
      </w:r>
      <w:r>
        <w:rPr>
          <w:rFonts w:hint="eastAsia" w:ascii="方正仿宋_GBK" w:hAnsi="方正仿宋_GBK" w:eastAsia="方正仿宋_GBK" w:cs="仿宋_GB2312"/>
          <w:color w:val="auto"/>
          <w:kern w:val="0"/>
          <w:sz w:val="32"/>
          <w:szCs w:val="32"/>
          <w:lang w:eastAsia="zh-CN"/>
        </w:rPr>
        <w:t>生产</w:t>
      </w:r>
      <w:r>
        <w:rPr>
          <w:rFonts w:hint="eastAsia" w:ascii="方正仿宋_GBK" w:hAnsi="方正仿宋_GBK" w:eastAsia="方正仿宋_GBK" w:cs="仿宋_GB2312"/>
          <w:color w:val="auto"/>
          <w:kern w:val="0"/>
          <w:sz w:val="32"/>
          <w:szCs w:val="32"/>
        </w:rPr>
        <w:t>和经营环节的转基因</w:t>
      </w:r>
      <w:r>
        <w:rPr>
          <w:rFonts w:hint="eastAsia" w:ascii="方正仿宋_GBK" w:hAnsi="方正仿宋_GBK" w:eastAsia="方正仿宋_GBK" w:cs="仿宋_GB2312"/>
          <w:color w:val="auto"/>
          <w:kern w:val="0"/>
          <w:sz w:val="32"/>
          <w:szCs w:val="32"/>
          <w:lang w:eastAsia="zh-CN"/>
        </w:rPr>
        <w:t>种</w:t>
      </w:r>
      <w:r>
        <w:rPr>
          <w:rFonts w:hint="eastAsia" w:ascii="方正仿宋_GBK" w:hAnsi="方正仿宋_GBK" w:eastAsia="方正仿宋_GBK" w:cs="仿宋_GB2312"/>
          <w:color w:val="auto"/>
          <w:kern w:val="0"/>
          <w:sz w:val="32"/>
          <w:szCs w:val="32"/>
        </w:rPr>
        <w:t>抽检力度，防止非法转基因种子流入市场。</w:t>
      </w:r>
    </w:p>
    <w:p>
      <w:pPr>
        <w:adjustRightInd w:val="0"/>
        <w:snapToGrid w:val="0"/>
        <w:spacing w:line="590" w:lineRule="exact"/>
        <w:ind w:firstLine="640" w:firstLineChars="200"/>
        <w:rPr>
          <w:rFonts w:hint="eastAsia" w:ascii="方正仿宋_GBK" w:hAnsi="方正仿宋_GBK" w:eastAsia="方正仿宋_GBK" w:cs="仿宋_GB2312"/>
          <w:color w:val="auto"/>
          <w:kern w:val="0"/>
          <w:sz w:val="32"/>
          <w:szCs w:val="32"/>
        </w:rPr>
      </w:pPr>
      <w:r>
        <w:rPr>
          <w:rFonts w:hint="eastAsia" w:ascii="方正楷体_GBK" w:hAnsi="方正楷体_GBK" w:eastAsia="方正楷体_GBK" w:cs="楷体_GB2312"/>
          <w:color w:val="auto"/>
          <w:kern w:val="0"/>
          <w:sz w:val="32"/>
          <w:szCs w:val="32"/>
        </w:rPr>
        <w:t>（</w:t>
      </w:r>
      <w:r>
        <w:rPr>
          <w:rFonts w:hint="eastAsia" w:ascii="方正楷体_GBK" w:hAnsi="方正楷体_GBK" w:eastAsia="方正楷体_GBK" w:cs="楷体_GB2312"/>
          <w:color w:val="auto"/>
          <w:kern w:val="0"/>
          <w:sz w:val="32"/>
          <w:szCs w:val="32"/>
          <w:lang w:eastAsia="zh-CN"/>
        </w:rPr>
        <w:t>五</w:t>
      </w:r>
      <w:r>
        <w:rPr>
          <w:rFonts w:hint="eastAsia" w:ascii="方正楷体_GBK" w:hAnsi="方正楷体_GBK" w:eastAsia="方正楷体_GBK" w:cs="楷体_GB2312"/>
          <w:color w:val="auto"/>
          <w:kern w:val="0"/>
          <w:sz w:val="32"/>
          <w:szCs w:val="32"/>
        </w:rPr>
        <w:t>）</w:t>
      </w:r>
      <w:r>
        <w:rPr>
          <w:rFonts w:hint="eastAsia" w:ascii="方正楷体_GBK" w:hAnsi="方正楷体_GBK" w:eastAsia="方正楷体_GBK" w:cs="楷体_GB2312"/>
          <w:color w:val="auto"/>
          <w:kern w:val="0"/>
          <w:sz w:val="32"/>
          <w:szCs w:val="32"/>
          <w:lang w:eastAsia="zh-CN"/>
        </w:rPr>
        <w:t>加强</w:t>
      </w:r>
      <w:r>
        <w:rPr>
          <w:rFonts w:hint="eastAsia" w:ascii="方正楷体_GBK" w:hAnsi="方正楷体_GBK" w:eastAsia="方正楷体_GBK" w:cs="楷体_GB2312"/>
          <w:color w:val="auto"/>
          <w:kern w:val="0"/>
          <w:sz w:val="32"/>
          <w:szCs w:val="32"/>
        </w:rPr>
        <w:t>进口</w:t>
      </w:r>
      <w:r>
        <w:rPr>
          <w:rFonts w:hint="eastAsia" w:ascii="方正楷体_GBK" w:hAnsi="方正楷体_GBK" w:eastAsia="方正楷体_GBK" w:cs="楷体_GB2312"/>
          <w:color w:val="auto"/>
          <w:kern w:val="0"/>
          <w:sz w:val="32"/>
          <w:szCs w:val="32"/>
          <w:lang w:eastAsia="zh-CN"/>
        </w:rPr>
        <w:t>转基因生物</w:t>
      </w:r>
      <w:r>
        <w:rPr>
          <w:rFonts w:hint="eastAsia" w:ascii="方正楷体_GBK" w:hAnsi="方正楷体_GBK" w:eastAsia="方正楷体_GBK" w:cs="楷体_GB2312"/>
          <w:color w:val="auto"/>
          <w:kern w:val="0"/>
          <w:sz w:val="32"/>
          <w:szCs w:val="32"/>
        </w:rPr>
        <w:t>加工</w:t>
      </w:r>
      <w:r>
        <w:rPr>
          <w:rFonts w:hint="eastAsia" w:ascii="方正楷体_GBK" w:hAnsi="方正楷体_GBK" w:eastAsia="方正楷体_GBK" w:cs="楷体_GB2312"/>
          <w:color w:val="auto"/>
          <w:kern w:val="0"/>
          <w:sz w:val="32"/>
          <w:szCs w:val="32"/>
          <w:lang w:eastAsia="zh-CN"/>
        </w:rPr>
        <w:t>企业的</w:t>
      </w:r>
      <w:r>
        <w:rPr>
          <w:rFonts w:hint="eastAsia" w:ascii="方正楷体_GBK" w:hAnsi="方正楷体_GBK" w:eastAsia="方正楷体_GBK" w:cs="楷体_GB2312"/>
          <w:color w:val="auto"/>
          <w:kern w:val="0"/>
          <w:sz w:val="32"/>
          <w:szCs w:val="32"/>
        </w:rPr>
        <w:t>监管。</w:t>
      </w:r>
      <w:r>
        <w:rPr>
          <w:rFonts w:hint="eastAsia" w:ascii="方正仿宋_GBK" w:hAnsi="方正仿宋_GBK" w:eastAsia="方正仿宋_GBK" w:cs="仿宋_GB2312"/>
          <w:color w:val="auto"/>
          <w:kern w:val="0"/>
          <w:sz w:val="32"/>
          <w:szCs w:val="32"/>
        </w:rPr>
        <w:t>强化对</w:t>
      </w:r>
      <w:r>
        <w:rPr>
          <w:rFonts w:hint="eastAsia" w:ascii="方正仿宋_GBK" w:hAnsi="方正仿宋_GBK" w:eastAsia="方正仿宋_GBK" w:cs="仿宋_GB2312"/>
          <w:color w:val="auto"/>
          <w:kern w:val="0"/>
          <w:sz w:val="32"/>
          <w:szCs w:val="32"/>
          <w:lang w:eastAsia="zh-CN"/>
        </w:rPr>
        <w:t>转基因生物</w:t>
      </w:r>
      <w:r>
        <w:rPr>
          <w:rFonts w:hint="eastAsia" w:ascii="方正仿宋_GBK" w:hAnsi="方正仿宋_GBK" w:eastAsia="方正仿宋_GBK" w:cs="仿宋_GB2312"/>
          <w:color w:val="auto"/>
          <w:kern w:val="0"/>
          <w:sz w:val="32"/>
          <w:szCs w:val="32"/>
        </w:rPr>
        <w:t>境外贸易商、境内贸易商和加工企业审查，加强进口转基因生物流向监管。</w:t>
      </w:r>
      <w:r>
        <w:rPr>
          <w:rFonts w:hint="eastAsia" w:ascii="方正仿宋_GBK" w:hAnsi="方正仿宋_GBK" w:eastAsia="方正仿宋_GBK" w:cs="仿宋_GB2312"/>
          <w:color w:val="auto"/>
          <w:kern w:val="0"/>
          <w:sz w:val="32"/>
          <w:szCs w:val="32"/>
          <w:lang w:eastAsia="zh-CN"/>
        </w:rPr>
        <w:t>禁止无转基因生物加工许可证的企业非法加工转基因产品。</w:t>
      </w:r>
      <w:r>
        <w:rPr>
          <w:rFonts w:hint="eastAsia" w:ascii="方正仿宋_GBK" w:hAnsi="方正仿宋_GBK" w:eastAsia="方正仿宋_GBK" w:cs="仿宋_GB2312"/>
          <w:color w:val="auto"/>
          <w:kern w:val="0"/>
          <w:sz w:val="32"/>
          <w:szCs w:val="32"/>
        </w:rPr>
        <w:t>严查装卸、储存、运输、加工过程中</w:t>
      </w:r>
      <w:r>
        <w:rPr>
          <w:rFonts w:hint="eastAsia" w:ascii="方正仿宋_GBK" w:hAnsi="方正仿宋_GBK" w:eastAsia="方正仿宋_GBK" w:cs="仿宋_GB2312"/>
          <w:color w:val="auto"/>
          <w:kern w:val="0"/>
          <w:sz w:val="32"/>
          <w:szCs w:val="32"/>
          <w:lang w:eastAsia="zh-CN"/>
        </w:rPr>
        <w:t>转基因生物</w:t>
      </w:r>
      <w:r>
        <w:rPr>
          <w:rFonts w:hint="eastAsia" w:ascii="方正仿宋_GBK" w:hAnsi="方正仿宋_GBK" w:eastAsia="方正仿宋_GBK" w:cs="仿宋_GB2312"/>
          <w:color w:val="auto"/>
          <w:kern w:val="0"/>
          <w:sz w:val="32"/>
          <w:szCs w:val="32"/>
        </w:rPr>
        <w:t>安全控制措施落实情况，全面核查</w:t>
      </w:r>
      <w:r>
        <w:rPr>
          <w:rFonts w:hint="eastAsia" w:ascii="方正仿宋_GBK" w:hAnsi="方正仿宋_GBK" w:eastAsia="方正仿宋_GBK" w:cs="仿宋_GB2312"/>
          <w:color w:val="auto"/>
          <w:kern w:val="0"/>
          <w:sz w:val="32"/>
          <w:szCs w:val="32"/>
          <w:lang w:eastAsia="zh-CN"/>
        </w:rPr>
        <w:t>转基因生物</w:t>
      </w:r>
      <w:r>
        <w:rPr>
          <w:rFonts w:hint="eastAsia" w:ascii="方正仿宋_GBK" w:hAnsi="方正仿宋_GBK" w:eastAsia="方正仿宋_GBK" w:cs="仿宋_GB2312"/>
          <w:color w:val="auto"/>
          <w:kern w:val="0"/>
          <w:sz w:val="32"/>
          <w:szCs w:val="32"/>
        </w:rPr>
        <w:t>产品采购、加工、销售、管理等档案记录，严禁改变进口农业转基因生物用途，确保全部用于原料加工。</w:t>
      </w:r>
    </w:p>
    <w:p>
      <w:pPr>
        <w:adjustRightInd w:val="0"/>
        <w:snapToGrid w:val="0"/>
        <w:spacing w:line="590" w:lineRule="exact"/>
        <w:ind w:firstLine="640" w:firstLineChars="200"/>
        <w:rPr>
          <w:rFonts w:hint="eastAsia" w:ascii="方正仿宋_GBK" w:hAnsi="方正仿宋_GBK" w:eastAsia="方正仿宋_GBK" w:cs="仿宋_GB2312"/>
          <w:color w:val="auto"/>
          <w:kern w:val="0"/>
          <w:sz w:val="32"/>
          <w:szCs w:val="32"/>
        </w:rPr>
      </w:pPr>
      <w:r>
        <w:rPr>
          <w:rFonts w:hint="eastAsia" w:ascii="方正楷体_GBK" w:hAnsi="方正楷体_GBK" w:eastAsia="方正楷体_GBK" w:cs="楷体_GB2312"/>
          <w:color w:val="auto"/>
          <w:kern w:val="0"/>
          <w:sz w:val="32"/>
          <w:szCs w:val="32"/>
        </w:rPr>
        <w:t>（</w:t>
      </w:r>
      <w:r>
        <w:rPr>
          <w:rFonts w:hint="eastAsia" w:ascii="方正楷体_GBK" w:hAnsi="方正楷体_GBK" w:eastAsia="方正楷体_GBK" w:cs="楷体_GB2312"/>
          <w:color w:val="auto"/>
          <w:kern w:val="0"/>
          <w:sz w:val="32"/>
          <w:szCs w:val="32"/>
          <w:lang w:eastAsia="zh-CN"/>
        </w:rPr>
        <w:t>六</w:t>
      </w:r>
      <w:r>
        <w:rPr>
          <w:rFonts w:hint="eastAsia" w:ascii="方正楷体_GBK" w:hAnsi="方正楷体_GBK" w:eastAsia="方正楷体_GBK" w:cs="楷体_GB2312"/>
          <w:color w:val="auto"/>
          <w:kern w:val="0"/>
          <w:sz w:val="32"/>
          <w:szCs w:val="32"/>
        </w:rPr>
        <w:t>）做好</w:t>
      </w:r>
      <w:r>
        <w:rPr>
          <w:rFonts w:hint="eastAsia" w:ascii="方正楷体_GBK" w:hAnsi="方正楷体_GBK" w:eastAsia="方正楷体_GBK" w:cs="楷体_GB2312"/>
          <w:color w:val="auto"/>
          <w:kern w:val="0"/>
          <w:sz w:val="32"/>
          <w:szCs w:val="32"/>
          <w:lang w:eastAsia="zh-CN"/>
        </w:rPr>
        <w:t>转基因作物</w:t>
      </w:r>
      <w:r>
        <w:rPr>
          <w:rFonts w:hint="eastAsia" w:ascii="方正楷体_GBK" w:hAnsi="方正楷体_GBK" w:eastAsia="方正楷体_GBK" w:cs="楷体_GB2312"/>
          <w:color w:val="auto"/>
          <w:kern w:val="0"/>
          <w:sz w:val="32"/>
          <w:szCs w:val="32"/>
        </w:rPr>
        <w:t>种植区域跟踪监测。</w:t>
      </w:r>
      <w:r>
        <w:rPr>
          <w:rFonts w:hint="eastAsia" w:ascii="方正仿宋_GBK" w:hAnsi="方正仿宋_GBK" w:eastAsia="方正仿宋_GBK" w:cs="仿宋_GB2312"/>
          <w:color w:val="auto"/>
          <w:kern w:val="0"/>
          <w:sz w:val="32"/>
          <w:szCs w:val="32"/>
        </w:rPr>
        <w:t>安排技术人员跟踪监测转基因作物种植区域的病虫害消长、种群结构及其生物多样性变化情况，及时掌握有害生物抗性动态，研究提出应对措施，严防目标害虫转移对其他作物造成危害，防范次要害虫上升危害。</w:t>
      </w:r>
    </w:p>
    <w:p>
      <w:pPr>
        <w:adjustRightInd w:val="0"/>
        <w:snapToGrid w:val="0"/>
        <w:spacing w:line="590" w:lineRule="exact"/>
        <w:ind w:firstLine="640" w:firstLineChars="200"/>
        <w:rPr>
          <w:rFonts w:hint="eastAsia" w:ascii="方正黑体_GBK" w:hAnsi="方正黑体_GBK" w:eastAsia="方正黑体_GBK" w:cs="黑体"/>
          <w:b w:val="0"/>
          <w:bCs w:val="0"/>
          <w:color w:val="auto"/>
          <w:kern w:val="0"/>
          <w:sz w:val="32"/>
          <w:szCs w:val="32"/>
        </w:rPr>
      </w:pPr>
      <w:r>
        <w:rPr>
          <w:rFonts w:hint="eastAsia" w:ascii="方正黑体_GBK" w:hAnsi="方正黑体_GBK" w:eastAsia="方正黑体_GBK" w:cs="黑体"/>
          <w:b w:val="0"/>
          <w:bCs w:val="0"/>
          <w:color w:val="auto"/>
          <w:kern w:val="0"/>
          <w:sz w:val="32"/>
          <w:szCs w:val="32"/>
          <w:lang w:eastAsia="zh-CN"/>
        </w:rPr>
        <w:t>四</w:t>
      </w:r>
      <w:r>
        <w:rPr>
          <w:rFonts w:hint="eastAsia" w:ascii="方正黑体_GBK" w:hAnsi="方正黑体_GBK" w:eastAsia="方正黑体_GBK" w:cs="黑体"/>
          <w:b w:val="0"/>
          <w:bCs w:val="0"/>
          <w:color w:val="auto"/>
          <w:kern w:val="0"/>
          <w:sz w:val="32"/>
          <w:szCs w:val="32"/>
        </w:rPr>
        <w:t>、工作要求</w:t>
      </w:r>
    </w:p>
    <w:p>
      <w:pPr>
        <w:adjustRightInd w:val="0"/>
        <w:snapToGrid w:val="0"/>
        <w:spacing w:line="590" w:lineRule="exact"/>
        <w:ind w:firstLine="640" w:firstLineChars="200"/>
        <w:rPr>
          <w:rFonts w:hint="eastAsia" w:ascii="方正仿宋_GBK" w:hAnsi="方正仿宋_GBK" w:eastAsia="方正仿宋_GBK" w:cs="仿宋_GB2312"/>
          <w:color w:val="auto"/>
          <w:kern w:val="0"/>
          <w:sz w:val="32"/>
          <w:szCs w:val="32"/>
          <w:lang w:eastAsia="zh-CN"/>
        </w:rPr>
      </w:pPr>
      <w:r>
        <w:rPr>
          <w:rFonts w:hint="eastAsia" w:ascii="方正楷体_GBK" w:hAnsi="方正楷体_GBK" w:eastAsia="方正楷体_GBK" w:cs="楷体_GB2312"/>
          <w:color w:val="auto"/>
          <w:kern w:val="0"/>
          <w:sz w:val="32"/>
          <w:szCs w:val="32"/>
        </w:rPr>
        <w:t>（一）</w:t>
      </w:r>
      <w:r>
        <w:rPr>
          <w:rFonts w:hint="eastAsia" w:ascii="方正楷体_GBK" w:hAnsi="方正楷体_GBK" w:eastAsia="方正楷体_GBK" w:cs="楷体_GB2312"/>
          <w:color w:val="auto"/>
          <w:kern w:val="0"/>
          <w:sz w:val="32"/>
          <w:szCs w:val="32"/>
          <w:lang w:eastAsia="zh-CN"/>
        </w:rPr>
        <w:t>开展专题学习。</w:t>
      </w:r>
      <w:r>
        <w:rPr>
          <w:rFonts w:hint="eastAsia" w:ascii="方正仿宋_GBK" w:hAnsi="方正仿宋_GBK" w:eastAsia="方正仿宋_GBK" w:cs="仿宋_GB2312"/>
          <w:color w:val="auto"/>
          <w:kern w:val="0"/>
          <w:sz w:val="32"/>
          <w:szCs w:val="32"/>
          <w:lang w:eastAsia="zh-CN"/>
        </w:rPr>
        <w:t>一是要学习习近平总书记关于转基因生物安全的重要讲话精神；二是要学习农业农村部唐仁健部长在全国农业农村工作会上多次提到推进生物育种产业化工作的讲话内容；三是要学习新华社刊发的《重科学严监管，打好种业翻身仗——权威专家谈推进生物育种产业化应用》和中国纪检监察报刊发的《转基因技术为保障粮食安全注入新动能——访中国工程院院士吴孔明、万建民》。农业农村系统各单位、各部门要以集中学习或专题研讨等多种形式组织开展专题学习活动，实现所有在职在岗人员全覆盖。</w:t>
      </w:r>
    </w:p>
    <w:p>
      <w:pPr>
        <w:adjustRightInd w:val="0"/>
        <w:snapToGrid w:val="0"/>
        <w:spacing w:line="590" w:lineRule="exact"/>
        <w:ind w:firstLine="640" w:firstLineChars="200"/>
        <w:rPr>
          <w:rFonts w:hint="eastAsia" w:ascii="方正仿宋_GBK" w:hAnsi="方正仿宋_GBK" w:eastAsia="方正仿宋_GBK" w:cs="仿宋_GB2312"/>
          <w:color w:val="auto"/>
          <w:kern w:val="0"/>
          <w:sz w:val="32"/>
          <w:szCs w:val="32"/>
        </w:rPr>
      </w:pPr>
      <w:r>
        <w:rPr>
          <w:rFonts w:hint="eastAsia" w:ascii="方正楷体_GBK" w:hAnsi="方正楷体_GBK" w:eastAsia="方正楷体_GBK" w:cs="楷体_GB2312"/>
          <w:color w:val="auto"/>
          <w:kern w:val="0"/>
          <w:sz w:val="32"/>
          <w:szCs w:val="32"/>
          <w:lang w:eastAsia="zh-CN"/>
        </w:rPr>
        <w:t>（二）</w:t>
      </w:r>
      <w:r>
        <w:rPr>
          <w:rFonts w:hint="eastAsia" w:ascii="方正楷体_GBK" w:hAnsi="方正楷体_GBK" w:eastAsia="方正楷体_GBK" w:cs="楷体_GB2312"/>
          <w:color w:val="auto"/>
          <w:kern w:val="0"/>
          <w:sz w:val="32"/>
          <w:szCs w:val="32"/>
        </w:rPr>
        <w:t>压实主体责任。</w:t>
      </w:r>
      <w:r>
        <w:rPr>
          <w:rFonts w:hint="eastAsia" w:ascii="方正仿宋_GBK" w:hAnsi="方正仿宋_GBK" w:eastAsia="方正仿宋_GBK" w:cs="仿宋_GB2312"/>
          <w:color w:val="auto"/>
          <w:kern w:val="0"/>
          <w:sz w:val="32"/>
          <w:szCs w:val="32"/>
          <w:lang w:eastAsia="zh-CN"/>
        </w:rPr>
        <w:t>各县区</w:t>
      </w:r>
      <w:r>
        <w:rPr>
          <w:rFonts w:hint="eastAsia" w:ascii="方正仿宋_GBK" w:hAnsi="方正仿宋_GBK" w:eastAsia="方正仿宋_GBK" w:cs="仿宋_GB2312"/>
          <w:color w:val="auto"/>
          <w:kern w:val="0"/>
          <w:sz w:val="32"/>
          <w:szCs w:val="32"/>
        </w:rPr>
        <w:t>要依据有关法律法规，通过召开行政指导会、监督检查、政策培训、约谈等方式，督促从事农业转基因生物研发和种子生产加工经营的单位落实主体责任，严格执行监管法定责任和法定措施。要求研发单位及其农业转基因生物安全小组强化自我约束和管理，承担起审查、监督、检查、报告等职责，督促指导本单位研发人员依法依规开展科研活动。要求种子生产加工经营者完善管理责任制度，强化内部人员培训，建立健全种子生产经营档案，确保源头和流向可追溯。</w:t>
      </w:r>
    </w:p>
    <w:p>
      <w:pPr>
        <w:adjustRightInd w:val="0"/>
        <w:snapToGrid w:val="0"/>
        <w:spacing w:line="590" w:lineRule="exact"/>
        <w:ind w:firstLine="640" w:firstLineChars="200"/>
        <w:rPr>
          <w:rFonts w:hint="eastAsia" w:ascii="方正仿宋_GBK" w:hAnsi="方正仿宋_GBK" w:eastAsia="方正仿宋_GBK" w:cs="仿宋_GB2312"/>
          <w:color w:val="auto"/>
          <w:kern w:val="0"/>
          <w:sz w:val="32"/>
          <w:szCs w:val="32"/>
        </w:rPr>
      </w:pPr>
      <w:r>
        <w:rPr>
          <w:rFonts w:hint="eastAsia" w:ascii="方正楷体_GBK" w:hAnsi="方正楷体_GBK" w:eastAsia="方正楷体_GBK" w:cs="楷体_GB2312"/>
          <w:color w:val="auto"/>
          <w:kern w:val="0"/>
          <w:sz w:val="32"/>
          <w:szCs w:val="32"/>
          <w:lang w:eastAsia="zh-CN"/>
        </w:rPr>
        <w:t>（三）</w:t>
      </w:r>
      <w:r>
        <w:rPr>
          <w:rFonts w:hint="eastAsia" w:ascii="方正楷体_GBK" w:hAnsi="方正楷体_GBK" w:eastAsia="方正楷体_GBK" w:cs="楷体_GB2312"/>
          <w:color w:val="auto"/>
          <w:kern w:val="0"/>
          <w:sz w:val="32"/>
          <w:szCs w:val="32"/>
        </w:rPr>
        <w:t>落实属地管理。</w:t>
      </w:r>
      <w:r>
        <w:rPr>
          <w:rFonts w:hint="eastAsia" w:ascii="方正仿宋_GBK" w:hAnsi="方正仿宋_GBK" w:eastAsia="方正仿宋_GBK" w:cs="仿宋_GB2312"/>
          <w:color w:val="auto"/>
          <w:kern w:val="0"/>
          <w:sz w:val="32"/>
          <w:szCs w:val="32"/>
          <w:lang w:eastAsia="zh-CN"/>
        </w:rPr>
        <w:t>各县区</w:t>
      </w:r>
      <w:r>
        <w:rPr>
          <w:rFonts w:hint="eastAsia" w:ascii="方正仿宋_GBK" w:hAnsi="方正仿宋_GBK" w:eastAsia="方正仿宋_GBK" w:cs="仿宋_GB2312"/>
          <w:color w:val="auto"/>
          <w:kern w:val="0"/>
          <w:sz w:val="32"/>
          <w:szCs w:val="32"/>
        </w:rPr>
        <w:t>要严格执法、强化部署、协同监管，认真履行农业转基因生物属地监管责任。主要负责人应组织专题研究农业转基因生物监管工作，抓推进、重实效，充分确保人员、装备和工作经费等基础保障。</w:t>
      </w:r>
    </w:p>
    <w:p>
      <w:pPr>
        <w:adjustRightInd w:val="0"/>
        <w:snapToGrid w:val="0"/>
        <w:spacing w:line="590" w:lineRule="exact"/>
        <w:ind w:firstLine="640" w:firstLineChars="200"/>
        <w:rPr>
          <w:rFonts w:hint="eastAsia" w:ascii="方正仿宋_GBK" w:hAnsi="方正仿宋_GBK" w:eastAsia="方正仿宋_GBK" w:cs="仿宋_GB2312"/>
          <w:color w:val="auto"/>
          <w:kern w:val="0"/>
          <w:sz w:val="32"/>
          <w:szCs w:val="32"/>
        </w:rPr>
      </w:pPr>
      <w:r>
        <w:rPr>
          <w:rFonts w:hint="eastAsia" w:ascii="方正楷体_GBK" w:hAnsi="方正楷体_GBK" w:eastAsia="方正楷体_GBK" w:cs="楷体_GB2312"/>
          <w:color w:val="auto"/>
          <w:kern w:val="0"/>
          <w:sz w:val="32"/>
          <w:szCs w:val="32"/>
        </w:rPr>
        <w:t>（</w:t>
      </w:r>
      <w:r>
        <w:rPr>
          <w:rFonts w:hint="eastAsia" w:ascii="方正楷体_GBK" w:hAnsi="方正楷体_GBK" w:eastAsia="方正楷体_GBK" w:cs="楷体_GB2312"/>
          <w:color w:val="auto"/>
          <w:kern w:val="0"/>
          <w:sz w:val="32"/>
          <w:szCs w:val="32"/>
          <w:lang w:eastAsia="zh-CN"/>
        </w:rPr>
        <w:t>四</w:t>
      </w:r>
      <w:r>
        <w:rPr>
          <w:rFonts w:hint="eastAsia" w:ascii="方正楷体_GBK" w:hAnsi="方正楷体_GBK" w:eastAsia="方正楷体_GBK" w:cs="楷体_GB2312"/>
          <w:color w:val="auto"/>
          <w:kern w:val="0"/>
          <w:sz w:val="32"/>
          <w:szCs w:val="32"/>
        </w:rPr>
        <w:t>）加强监督检查。</w:t>
      </w:r>
      <w:r>
        <w:rPr>
          <w:rFonts w:hint="eastAsia" w:ascii="方正仿宋_GBK" w:hAnsi="方正仿宋_GBK" w:eastAsia="方正仿宋_GBK" w:cs="仿宋_GB2312"/>
          <w:color w:val="auto"/>
          <w:kern w:val="0"/>
          <w:sz w:val="32"/>
          <w:szCs w:val="32"/>
        </w:rPr>
        <w:t>突出问题导向，狠抓关键时节、关键环节和重点地区的监督检查，注重监管实效。落实监管线索督办、约谈问责制度，严肃追究不作为、不监管、相互推诿人员的责任。落实监管信息报送制度，案件查处实行信息月报，重大案件随时报送，没有案件零报告。</w:t>
      </w:r>
    </w:p>
    <w:p>
      <w:pPr>
        <w:adjustRightInd w:val="0"/>
        <w:snapToGrid w:val="0"/>
        <w:spacing w:line="590" w:lineRule="exact"/>
        <w:ind w:firstLine="640" w:firstLineChars="200"/>
        <w:rPr>
          <w:rFonts w:hint="eastAsia" w:ascii="方正仿宋_GBK" w:hAnsi="方正仿宋_GBK" w:eastAsia="方正仿宋_GBK" w:cs="仿宋_GB2312"/>
          <w:color w:val="auto"/>
          <w:kern w:val="0"/>
          <w:sz w:val="32"/>
          <w:szCs w:val="32"/>
        </w:rPr>
      </w:pPr>
      <w:r>
        <w:rPr>
          <w:rFonts w:hint="eastAsia" w:ascii="方正楷体_GBK" w:hAnsi="方正楷体_GBK" w:eastAsia="方正楷体_GBK" w:cs="楷体_GB2312"/>
          <w:color w:val="auto"/>
          <w:kern w:val="0"/>
          <w:sz w:val="32"/>
          <w:szCs w:val="32"/>
        </w:rPr>
        <w:t>（</w:t>
      </w:r>
      <w:r>
        <w:rPr>
          <w:rFonts w:hint="eastAsia" w:ascii="方正楷体_GBK" w:hAnsi="方正楷体_GBK" w:eastAsia="方正楷体_GBK" w:cs="楷体_GB2312"/>
          <w:color w:val="auto"/>
          <w:kern w:val="0"/>
          <w:sz w:val="32"/>
          <w:szCs w:val="32"/>
          <w:lang w:eastAsia="zh-CN"/>
        </w:rPr>
        <w:t>五</w:t>
      </w:r>
      <w:r>
        <w:rPr>
          <w:rFonts w:hint="eastAsia" w:ascii="方正楷体_GBK" w:hAnsi="方正楷体_GBK" w:eastAsia="方正楷体_GBK" w:cs="楷体_GB2312"/>
          <w:color w:val="auto"/>
          <w:kern w:val="0"/>
          <w:sz w:val="32"/>
          <w:szCs w:val="32"/>
        </w:rPr>
        <w:t>）加大查处力度。</w:t>
      </w:r>
      <w:r>
        <w:rPr>
          <w:rFonts w:hint="eastAsia" w:ascii="方正仿宋_GBK" w:hAnsi="方正仿宋_GBK" w:eastAsia="方正仿宋_GBK" w:cs="仿宋_GB2312"/>
          <w:color w:val="auto"/>
          <w:kern w:val="0"/>
          <w:sz w:val="32"/>
          <w:szCs w:val="32"/>
        </w:rPr>
        <w:t>全面摸排收集违规线索，及时立案调查，依法从严处理，对已办结案件依法做好信息公开，曝光查处结果，形成震慑。紧抓重点案件不放，深挖线索来源，打掉非法扩散源头。鼓励社会各界对违法违规行为进行举报，对群众直接举报和</w:t>
      </w:r>
      <w:r>
        <w:rPr>
          <w:rFonts w:hint="eastAsia" w:ascii="方正仿宋_GBK" w:hAnsi="方正仿宋_GBK" w:eastAsia="方正仿宋_GBK" w:cs="仿宋_GB2312"/>
          <w:color w:val="auto"/>
          <w:kern w:val="0"/>
          <w:sz w:val="32"/>
          <w:szCs w:val="32"/>
          <w:lang w:eastAsia="zh-CN"/>
        </w:rPr>
        <w:t>省农业农村厅</w:t>
      </w:r>
      <w:r>
        <w:rPr>
          <w:rFonts w:hint="eastAsia" w:ascii="方正仿宋_GBK" w:hAnsi="方正仿宋_GBK" w:eastAsia="方正仿宋_GBK" w:cs="仿宋_GB2312"/>
          <w:color w:val="auto"/>
          <w:kern w:val="0"/>
          <w:sz w:val="32"/>
          <w:szCs w:val="32"/>
        </w:rPr>
        <w:t>转办的监管线索认真核查，及时反馈核查情况。</w:t>
      </w:r>
    </w:p>
    <w:p>
      <w:pPr>
        <w:adjustRightInd w:val="0"/>
        <w:snapToGrid w:val="0"/>
        <w:spacing w:line="590" w:lineRule="exact"/>
        <w:ind w:firstLine="640" w:firstLineChars="200"/>
        <w:rPr>
          <w:rFonts w:hint="eastAsia" w:ascii="方正黑体_GBK" w:hAnsi="方正黑体_GBK" w:eastAsia="方正黑体_GBK" w:cs="黑体"/>
          <w:b w:val="0"/>
          <w:bCs w:val="0"/>
          <w:color w:val="auto"/>
          <w:kern w:val="0"/>
          <w:sz w:val="32"/>
          <w:szCs w:val="32"/>
        </w:rPr>
      </w:pPr>
      <w:r>
        <w:rPr>
          <w:rFonts w:hint="eastAsia" w:ascii="方正黑体_GBK" w:hAnsi="方正黑体_GBK" w:eastAsia="方正黑体_GBK" w:cs="黑体"/>
          <w:b w:val="0"/>
          <w:bCs w:val="0"/>
          <w:color w:val="auto"/>
          <w:kern w:val="0"/>
          <w:sz w:val="32"/>
          <w:szCs w:val="32"/>
          <w:lang w:eastAsia="zh-CN"/>
        </w:rPr>
        <w:t>五</w:t>
      </w:r>
      <w:r>
        <w:rPr>
          <w:rFonts w:hint="eastAsia" w:ascii="方正黑体_GBK" w:hAnsi="方正黑体_GBK" w:eastAsia="方正黑体_GBK" w:cs="黑体"/>
          <w:b w:val="0"/>
          <w:bCs w:val="0"/>
          <w:color w:val="auto"/>
          <w:kern w:val="0"/>
          <w:sz w:val="32"/>
          <w:szCs w:val="32"/>
        </w:rPr>
        <w:t>、工作安排</w:t>
      </w:r>
    </w:p>
    <w:p>
      <w:pPr>
        <w:adjustRightInd w:val="0"/>
        <w:snapToGrid w:val="0"/>
        <w:spacing w:line="590" w:lineRule="exact"/>
        <w:ind w:firstLine="640" w:firstLineChars="200"/>
        <w:rPr>
          <w:rFonts w:hint="eastAsia" w:ascii="方正仿宋_GBK" w:hAnsi="方正仿宋_GBK" w:eastAsia="方正仿宋_GBK" w:cs="仿宋_GB2312"/>
          <w:color w:val="auto"/>
          <w:kern w:val="0"/>
          <w:sz w:val="32"/>
          <w:szCs w:val="32"/>
        </w:rPr>
      </w:pPr>
      <w:r>
        <w:rPr>
          <w:rFonts w:hint="eastAsia" w:ascii="方正楷体_GBK" w:hAnsi="方正楷体_GBK" w:eastAsia="方正楷体_GBK" w:cs="楷体_GB2312"/>
          <w:color w:val="auto"/>
          <w:kern w:val="0"/>
          <w:sz w:val="32"/>
          <w:szCs w:val="32"/>
        </w:rPr>
        <w:t>（一）工作部署。</w:t>
      </w:r>
      <w:r>
        <w:rPr>
          <w:rFonts w:hint="eastAsia" w:ascii="方正仿宋_GBK" w:hAnsi="方正仿宋_GBK" w:eastAsia="方正仿宋_GBK" w:cs="仿宋_GB2312"/>
          <w:color w:val="auto"/>
          <w:kern w:val="0"/>
          <w:sz w:val="32"/>
          <w:szCs w:val="32"/>
        </w:rPr>
        <w:t>请</w:t>
      </w:r>
      <w:r>
        <w:rPr>
          <w:rFonts w:hint="eastAsia" w:ascii="方正仿宋_GBK" w:hAnsi="方正仿宋_GBK" w:eastAsia="方正仿宋_GBK" w:cs="仿宋_GB2312"/>
          <w:color w:val="auto"/>
          <w:kern w:val="0"/>
          <w:sz w:val="32"/>
          <w:szCs w:val="32"/>
          <w:lang w:eastAsia="zh-CN"/>
        </w:rPr>
        <w:t>各县区</w:t>
      </w:r>
      <w:r>
        <w:rPr>
          <w:rFonts w:hint="eastAsia" w:ascii="方正仿宋_GBK" w:hAnsi="方正仿宋_GBK" w:eastAsia="方正仿宋_GBK" w:cs="仿宋_GB2312"/>
          <w:color w:val="auto"/>
          <w:kern w:val="0"/>
          <w:sz w:val="32"/>
          <w:szCs w:val="32"/>
        </w:rPr>
        <w:t>根据以上要求，结合本地</w:t>
      </w:r>
      <w:r>
        <w:rPr>
          <w:rFonts w:hint="eastAsia" w:ascii="方正仿宋_GBK" w:hAnsi="方正仿宋_GBK" w:eastAsia="方正仿宋_GBK" w:cs="仿宋_GB2312"/>
          <w:color w:val="auto"/>
          <w:kern w:val="0"/>
          <w:sz w:val="32"/>
          <w:szCs w:val="32"/>
          <w:lang w:eastAsia="zh-CN"/>
        </w:rPr>
        <w:t>本部门</w:t>
      </w:r>
      <w:r>
        <w:rPr>
          <w:rFonts w:hint="eastAsia" w:ascii="方正仿宋_GBK" w:hAnsi="方正仿宋_GBK" w:eastAsia="方正仿宋_GBK" w:cs="仿宋_GB2312"/>
          <w:color w:val="auto"/>
          <w:kern w:val="0"/>
          <w:sz w:val="32"/>
          <w:szCs w:val="32"/>
        </w:rPr>
        <w:t>实际制定</w:t>
      </w:r>
      <w:r>
        <w:rPr>
          <w:rFonts w:hint="eastAsia" w:ascii="方正仿宋_GBK" w:hAnsi="方正仿宋_GBK" w:eastAsia="方正仿宋_GBK" w:cs="仿宋_GB2312"/>
          <w:color w:val="auto"/>
          <w:kern w:val="0"/>
          <w:sz w:val="32"/>
          <w:szCs w:val="32"/>
          <w:lang w:val="en-US" w:eastAsia="zh-CN"/>
        </w:rPr>
        <w:t>2022</w:t>
      </w:r>
      <w:r>
        <w:rPr>
          <w:rFonts w:hint="eastAsia" w:ascii="方正仿宋_GBK" w:hAnsi="方正仿宋_GBK" w:eastAsia="方正仿宋_GBK" w:cs="仿宋_GB2312"/>
          <w:color w:val="auto"/>
          <w:kern w:val="0"/>
          <w:sz w:val="32"/>
          <w:szCs w:val="32"/>
        </w:rPr>
        <w:t>年农业转基因监管方案，并于</w:t>
      </w:r>
      <w:r>
        <w:rPr>
          <w:rFonts w:hint="eastAsia" w:ascii="方正仿宋_GBK" w:hAnsi="方正仿宋_GBK" w:eastAsia="方正仿宋_GBK" w:cs="仿宋_GB2312"/>
          <w:color w:val="auto"/>
          <w:kern w:val="0"/>
          <w:sz w:val="32"/>
          <w:szCs w:val="32"/>
          <w:lang w:val="en-US" w:eastAsia="zh-CN"/>
        </w:rPr>
        <w:t>3</w:t>
      </w:r>
      <w:r>
        <w:rPr>
          <w:rFonts w:hint="eastAsia" w:ascii="方正仿宋_GBK" w:hAnsi="方正仿宋_GBK" w:eastAsia="方正仿宋_GBK" w:cs="仿宋_GB2312"/>
          <w:color w:val="auto"/>
          <w:kern w:val="0"/>
          <w:sz w:val="32"/>
          <w:szCs w:val="32"/>
        </w:rPr>
        <w:t>月底前在单位官方网站公开。</w:t>
      </w:r>
    </w:p>
    <w:p>
      <w:pPr>
        <w:keepNext w:val="0"/>
        <w:keepLines w:val="0"/>
        <w:pageBreakBefore w:val="0"/>
        <w:kinsoku/>
        <w:wordWrap/>
        <w:overflowPunct/>
        <w:topLinePunct w:val="0"/>
        <w:autoSpaceDE/>
        <w:autoSpaceDN/>
        <w:bidi w:val="0"/>
        <w:adjustRightInd w:val="0"/>
        <w:snapToGrid w:val="0"/>
        <w:spacing w:line="540" w:lineRule="exact"/>
        <w:ind w:left="0" w:right="0" w:firstLine="640" w:firstLineChars="200"/>
        <w:textAlignment w:val="auto"/>
        <w:rPr>
          <w:rFonts w:hint="eastAsia" w:ascii="方正仿宋_GBK" w:hAnsi="方正仿宋_GBK" w:eastAsia="方正仿宋_GBK" w:cs="仿宋"/>
          <w:snapToGrid w:val="0"/>
          <w:kern w:val="0"/>
          <w:sz w:val="32"/>
          <w:szCs w:val="32"/>
        </w:rPr>
      </w:pPr>
      <w:r>
        <w:rPr>
          <w:rFonts w:hint="eastAsia" w:ascii="方正楷体_GBK" w:hAnsi="方正楷体_GBK" w:eastAsia="方正楷体_GBK" w:cs="楷体_GB2312"/>
          <w:color w:val="auto"/>
          <w:kern w:val="0"/>
          <w:sz w:val="32"/>
          <w:szCs w:val="32"/>
        </w:rPr>
        <w:t>（</w:t>
      </w:r>
      <w:r>
        <w:rPr>
          <w:rFonts w:hint="eastAsia" w:ascii="方正楷体_GBK" w:hAnsi="方正楷体_GBK" w:eastAsia="方正楷体_GBK" w:cs="楷体_GB2312"/>
          <w:color w:val="auto"/>
          <w:kern w:val="0"/>
          <w:sz w:val="32"/>
          <w:szCs w:val="32"/>
          <w:lang w:eastAsia="zh-CN"/>
        </w:rPr>
        <w:t>二</w:t>
      </w:r>
      <w:r>
        <w:rPr>
          <w:rFonts w:hint="eastAsia" w:ascii="方正楷体_GBK" w:hAnsi="方正楷体_GBK" w:eastAsia="方正楷体_GBK" w:cs="楷体_GB2312"/>
          <w:color w:val="auto"/>
          <w:kern w:val="0"/>
          <w:sz w:val="32"/>
          <w:szCs w:val="32"/>
        </w:rPr>
        <w:t>）组织实施。</w:t>
      </w:r>
      <w:r>
        <w:rPr>
          <w:rFonts w:hint="eastAsia" w:ascii="方正仿宋_GBK" w:hAnsi="方正仿宋_GBK" w:eastAsia="方正仿宋_GBK" w:cs="仿宋"/>
          <w:snapToGrid w:val="0"/>
          <w:kern w:val="0"/>
          <w:sz w:val="32"/>
          <w:szCs w:val="32"/>
        </w:rPr>
        <w:t>各</w:t>
      </w:r>
      <w:r>
        <w:rPr>
          <w:rFonts w:hint="eastAsia" w:ascii="方正仿宋_GBK" w:hAnsi="方正仿宋_GBK" w:eastAsia="方正仿宋_GBK" w:cs="仿宋"/>
          <w:snapToGrid w:val="0"/>
          <w:kern w:val="0"/>
          <w:sz w:val="32"/>
          <w:szCs w:val="32"/>
          <w:lang w:eastAsia="zh-CN"/>
        </w:rPr>
        <w:t>县区</w:t>
      </w:r>
      <w:r>
        <w:rPr>
          <w:rFonts w:hint="eastAsia" w:ascii="方正仿宋_GBK" w:hAnsi="方正仿宋_GBK" w:eastAsia="方正仿宋_GBK" w:cs="仿宋"/>
          <w:snapToGrid w:val="0"/>
          <w:kern w:val="0"/>
          <w:sz w:val="32"/>
          <w:szCs w:val="32"/>
        </w:rPr>
        <w:t>要切实担负属地监管责任，</w:t>
      </w:r>
      <w:r>
        <w:rPr>
          <w:rFonts w:hint="eastAsia" w:ascii="方正仿宋_GBK" w:hAnsi="方正仿宋_GBK" w:eastAsia="方正仿宋_GBK" w:cs="仿宋_GB2312"/>
          <w:color w:val="auto"/>
          <w:kern w:val="0"/>
          <w:sz w:val="32"/>
          <w:szCs w:val="32"/>
        </w:rPr>
        <w:t>严格落实各项监管措施和工作机制，每月</w:t>
      </w:r>
      <w:r>
        <w:rPr>
          <w:rFonts w:hint="eastAsia" w:ascii="方正仿宋_GBK" w:hAnsi="方正仿宋_GBK" w:eastAsia="方正仿宋_GBK" w:cs="仿宋_GB2312"/>
          <w:color w:val="auto"/>
          <w:kern w:val="0"/>
          <w:sz w:val="32"/>
          <w:szCs w:val="32"/>
          <w:lang w:val="en-US" w:eastAsia="zh-CN"/>
        </w:rPr>
        <w:t>5</w:t>
      </w:r>
      <w:r>
        <w:rPr>
          <w:rFonts w:hint="eastAsia" w:ascii="方正仿宋_GBK" w:hAnsi="方正仿宋_GBK" w:eastAsia="方正仿宋_GBK" w:cs="仿宋_GB2312"/>
          <w:color w:val="auto"/>
          <w:kern w:val="0"/>
          <w:sz w:val="32"/>
          <w:szCs w:val="32"/>
        </w:rPr>
        <w:t>日前按时报送上个月月度监管信息，6月</w:t>
      </w:r>
      <w:r>
        <w:rPr>
          <w:rFonts w:hint="eastAsia" w:ascii="方正仿宋_GBK" w:hAnsi="方正仿宋_GBK" w:eastAsia="方正仿宋_GBK" w:cs="仿宋_GB2312"/>
          <w:color w:val="auto"/>
          <w:kern w:val="0"/>
          <w:sz w:val="32"/>
          <w:szCs w:val="32"/>
          <w:lang w:val="en-US" w:eastAsia="zh-CN"/>
        </w:rPr>
        <w:t>6</w:t>
      </w:r>
      <w:r>
        <w:rPr>
          <w:rFonts w:hint="eastAsia" w:ascii="方正仿宋_GBK" w:hAnsi="方正仿宋_GBK" w:eastAsia="方正仿宋_GBK" w:cs="仿宋_GB2312"/>
          <w:color w:val="auto"/>
          <w:kern w:val="0"/>
          <w:sz w:val="32"/>
          <w:szCs w:val="32"/>
        </w:rPr>
        <w:t>日前报送半年工作情况。</w:t>
      </w:r>
      <w:r>
        <w:rPr>
          <w:rFonts w:hint="eastAsia" w:ascii="方正仿宋_GBK" w:hAnsi="方正仿宋_GBK" w:eastAsia="方正仿宋_GBK" w:cs="仿宋"/>
          <w:snapToGrid w:val="0"/>
          <w:kern w:val="0"/>
          <w:sz w:val="32"/>
          <w:szCs w:val="32"/>
          <w:lang w:val="en-US" w:eastAsia="zh-CN"/>
        </w:rPr>
        <w:t>我局</w:t>
      </w:r>
      <w:r>
        <w:rPr>
          <w:rFonts w:hint="eastAsia" w:ascii="方正仿宋_GBK" w:hAnsi="方正仿宋_GBK" w:eastAsia="方正仿宋_GBK" w:cs="仿宋"/>
          <w:snapToGrid w:val="0"/>
          <w:kern w:val="0"/>
          <w:sz w:val="32"/>
          <w:szCs w:val="32"/>
        </w:rPr>
        <w:t>将组织开展督导检查。</w:t>
      </w:r>
    </w:p>
    <w:p>
      <w:pPr>
        <w:adjustRightInd w:val="0"/>
        <w:snapToGrid w:val="0"/>
        <w:spacing w:line="540" w:lineRule="exact"/>
        <w:ind w:firstLine="640" w:firstLineChars="200"/>
        <w:rPr>
          <w:rFonts w:hint="eastAsia" w:ascii="方正仿宋_GBK" w:hAnsi="方正仿宋_GBK" w:eastAsia="方正仿宋_GBK" w:cs="仿宋_GB2312"/>
          <w:color w:val="auto"/>
          <w:kern w:val="0"/>
          <w:sz w:val="32"/>
          <w:szCs w:val="32"/>
          <w:lang w:val="en-US" w:eastAsia="zh-CN"/>
        </w:rPr>
      </w:pPr>
      <w:r>
        <w:rPr>
          <w:rFonts w:hint="eastAsia" w:ascii="方正楷体_GBK" w:hAnsi="方正楷体_GBK" w:eastAsia="方正楷体_GBK" w:cs="楷体_GB2312"/>
          <w:color w:val="auto"/>
          <w:kern w:val="0"/>
          <w:sz w:val="32"/>
          <w:szCs w:val="32"/>
        </w:rPr>
        <w:t>（</w:t>
      </w:r>
      <w:r>
        <w:rPr>
          <w:rFonts w:hint="eastAsia" w:ascii="方正楷体_GBK" w:hAnsi="方正楷体_GBK" w:eastAsia="方正楷体_GBK" w:cs="楷体_GB2312"/>
          <w:color w:val="auto"/>
          <w:kern w:val="0"/>
          <w:sz w:val="32"/>
          <w:szCs w:val="32"/>
          <w:lang w:eastAsia="zh-CN"/>
        </w:rPr>
        <w:t>三</w:t>
      </w:r>
      <w:r>
        <w:rPr>
          <w:rFonts w:hint="eastAsia" w:ascii="方正楷体_GBK" w:hAnsi="方正楷体_GBK" w:eastAsia="方正楷体_GBK" w:cs="楷体_GB2312"/>
          <w:color w:val="auto"/>
          <w:kern w:val="0"/>
          <w:sz w:val="32"/>
          <w:szCs w:val="32"/>
        </w:rPr>
        <w:t>）工作总结。</w:t>
      </w:r>
      <w:r>
        <w:rPr>
          <w:rFonts w:hint="eastAsia" w:ascii="方正仿宋_GBK" w:hAnsi="方正仿宋_GBK" w:eastAsia="方正仿宋_GBK" w:cs="仿宋"/>
          <w:snapToGrid/>
          <w:color w:val="000000"/>
          <w:sz w:val="32"/>
          <w:szCs w:val="32"/>
          <w:shd w:val="clear" w:color="auto" w:fill="FFFFFF"/>
          <w:lang w:val="en-US" w:eastAsia="zh-CN"/>
        </w:rPr>
        <w:t>各县区</w:t>
      </w:r>
      <w:r>
        <w:rPr>
          <w:rFonts w:hint="eastAsia" w:ascii="方正仿宋_GBK" w:hAnsi="方正仿宋_GBK" w:eastAsia="方正仿宋_GBK" w:cs="仿宋"/>
          <w:snapToGrid w:val="0"/>
          <w:color w:val="000000"/>
          <w:kern w:val="0"/>
          <w:sz w:val="32"/>
          <w:szCs w:val="32"/>
        </w:rPr>
        <w:t>要及时总结工作经验做法，科学研判属地安全监管工作形势，提前做好下一步工作计划部署，并于每年</w:t>
      </w:r>
      <w:r>
        <w:rPr>
          <w:rFonts w:hint="eastAsia" w:ascii="方正仿宋_GBK" w:hAnsi="方正仿宋_GBK" w:eastAsia="方正仿宋_GBK" w:cs="仿宋"/>
          <w:snapToGrid w:val="0"/>
          <w:color w:val="000000"/>
          <w:kern w:val="0"/>
          <w:sz w:val="32"/>
          <w:szCs w:val="32"/>
          <w:lang w:val="en-US" w:eastAsia="zh-CN"/>
        </w:rPr>
        <w:t>12</w:t>
      </w:r>
      <w:r>
        <w:rPr>
          <w:rFonts w:hint="eastAsia" w:ascii="方正仿宋_GBK" w:hAnsi="方正仿宋_GBK" w:eastAsia="方正仿宋_GBK" w:cs="仿宋"/>
          <w:snapToGrid w:val="0"/>
          <w:color w:val="000000"/>
          <w:kern w:val="0"/>
          <w:sz w:val="32"/>
          <w:szCs w:val="32"/>
        </w:rPr>
        <w:t>月</w:t>
      </w:r>
      <w:r>
        <w:rPr>
          <w:rFonts w:hint="eastAsia" w:ascii="方正仿宋_GBK" w:hAnsi="方正仿宋_GBK" w:eastAsia="方正仿宋_GBK" w:cs="仿宋"/>
          <w:snapToGrid w:val="0"/>
          <w:color w:val="000000"/>
          <w:kern w:val="0"/>
          <w:sz w:val="32"/>
          <w:szCs w:val="32"/>
          <w:lang w:val="en-US" w:eastAsia="zh-CN"/>
        </w:rPr>
        <w:t>5</w:t>
      </w:r>
      <w:r>
        <w:rPr>
          <w:rFonts w:hint="eastAsia" w:ascii="方正仿宋_GBK" w:hAnsi="方正仿宋_GBK" w:eastAsia="方正仿宋_GBK" w:cs="仿宋"/>
          <w:snapToGrid w:val="0"/>
          <w:color w:val="000000"/>
          <w:kern w:val="0"/>
          <w:sz w:val="32"/>
          <w:szCs w:val="32"/>
        </w:rPr>
        <w:t>日前将</w:t>
      </w:r>
      <w:r>
        <w:rPr>
          <w:rFonts w:hint="eastAsia" w:ascii="方正仿宋_GBK" w:hAnsi="方正仿宋_GBK" w:eastAsia="方正仿宋_GBK" w:cs="仿宋"/>
          <w:snapToGrid w:val="0"/>
          <w:color w:val="000000"/>
          <w:kern w:val="0"/>
          <w:sz w:val="32"/>
          <w:szCs w:val="32"/>
          <w:lang w:eastAsia="zh-CN"/>
        </w:rPr>
        <w:t>全年</w:t>
      </w:r>
      <w:r>
        <w:rPr>
          <w:rFonts w:hint="eastAsia" w:ascii="方正仿宋_GBK" w:hAnsi="方正仿宋_GBK" w:eastAsia="方正仿宋_GBK" w:cs="仿宋"/>
          <w:snapToGrid w:val="0"/>
          <w:color w:val="000000"/>
          <w:kern w:val="0"/>
          <w:sz w:val="32"/>
          <w:szCs w:val="32"/>
        </w:rPr>
        <w:t>工作总结材料报送</w:t>
      </w:r>
      <w:r>
        <w:rPr>
          <w:rFonts w:hint="eastAsia" w:ascii="方正仿宋_GBK" w:hAnsi="方正仿宋_GBK" w:eastAsia="方正仿宋_GBK" w:cs="仿宋"/>
          <w:snapToGrid w:val="0"/>
          <w:color w:val="000000"/>
          <w:kern w:val="0"/>
          <w:sz w:val="32"/>
          <w:szCs w:val="32"/>
          <w:lang w:eastAsia="zh-CN"/>
        </w:rPr>
        <w:t>至我</w:t>
      </w:r>
      <w:r>
        <w:rPr>
          <w:rFonts w:hint="eastAsia" w:ascii="方正仿宋_GBK" w:hAnsi="方正仿宋_GBK" w:eastAsia="方正仿宋_GBK" w:cs="仿宋"/>
          <w:snapToGrid w:val="0"/>
          <w:color w:val="000000"/>
          <w:kern w:val="0"/>
          <w:sz w:val="32"/>
          <w:szCs w:val="32"/>
        </w:rPr>
        <w:t>局科</w:t>
      </w:r>
      <w:r>
        <w:rPr>
          <w:rFonts w:hint="eastAsia" w:ascii="方正仿宋_GBK" w:hAnsi="方正仿宋_GBK" w:eastAsia="方正仿宋_GBK" w:cs="仿宋"/>
          <w:snapToGrid w:val="0"/>
          <w:color w:val="000000"/>
          <w:kern w:val="0"/>
          <w:sz w:val="32"/>
          <w:szCs w:val="32"/>
          <w:lang w:eastAsia="zh-CN"/>
        </w:rPr>
        <w:t>技教育</w:t>
      </w:r>
      <w:r>
        <w:rPr>
          <w:rFonts w:hint="eastAsia" w:ascii="方正仿宋_GBK" w:hAnsi="方正仿宋_GBK" w:eastAsia="方正仿宋_GBK" w:cs="仿宋"/>
          <w:snapToGrid w:val="0"/>
          <w:color w:val="000000"/>
          <w:kern w:val="0"/>
          <w:sz w:val="32"/>
          <w:szCs w:val="32"/>
        </w:rPr>
        <w:t>科</w:t>
      </w:r>
      <w:r>
        <w:rPr>
          <w:rFonts w:hint="eastAsia" w:ascii="方正仿宋_GBK" w:hAnsi="方正仿宋_GBK" w:eastAsia="方正仿宋_GBK" w:cs="仿宋"/>
          <w:snapToGrid w:val="0"/>
          <w:color w:val="000000"/>
          <w:kern w:val="0"/>
          <w:sz w:val="32"/>
          <w:szCs w:val="32"/>
          <w:lang w:eastAsia="zh-CN"/>
        </w:rPr>
        <w:t>。</w:t>
      </w:r>
    </w:p>
    <w:p>
      <w:pPr>
        <w:pStyle w:val="15"/>
        <w:widowControl w:val="0"/>
        <w:adjustRightInd w:val="0"/>
        <w:snapToGrid w:val="0"/>
        <w:spacing w:line="590" w:lineRule="exact"/>
        <w:ind w:right="0" w:firstLine="0" w:firstLineChars="0"/>
        <w:rPr>
          <w:rFonts w:hint="eastAsia" w:ascii="方正黑体_GBK" w:hAnsi="方正黑体_GBK" w:eastAsia="方正黑体_GBK" w:cs="黑体"/>
          <w:color w:val="auto"/>
          <w:szCs w:val="32"/>
          <w:lang w:eastAsia="zh-CN"/>
        </w:rPr>
      </w:pPr>
    </w:p>
    <w:sectPr>
      <w:headerReference r:id="rId4" w:type="first"/>
      <w:footerReference r:id="rId6" w:type="first"/>
      <w:headerReference r:id="rId3" w:type="default"/>
      <w:footerReference r:id="rId5" w:type="default"/>
      <w:pgSz w:w="11906" w:h="16838"/>
      <w:pgMar w:top="1871" w:right="1531" w:bottom="1871" w:left="1531" w:header="851" w:footer="1417" w:gutter="0"/>
      <w:paperSrc/>
      <w:pgNumType w:fmt="decimal"/>
      <w:cols w:space="720" w:num="1"/>
      <w:titlePg/>
      <w:rtlGutter w:val="0"/>
      <w:docGrid w:type="lines" w:linePitch="5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609000101010101"/>
    <w:charset w:val="01"/>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Align="top"/>
      <w:widowControl w:val="0"/>
      <w:pBdr>
        <w:top w:val="none" w:color="auto" w:sz="0" w:space="0"/>
        <w:left w:val="none" w:color="auto" w:sz="0" w:space="0"/>
        <w:bottom w:val="none" w:color="auto" w:sz="0" w:space="0"/>
        <w:right w:val="none" w:color="auto" w:sz="0" w:space="0"/>
        <w:between w:val="none" w:color="auto" w:sz="50" w:space="0"/>
      </w:pBdr>
      <w:snapToGrid w:val="0"/>
      <w:spacing w:after="0" w:afterLines="0"/>
      <w:jc w:val="left"/>
    </w:pPr>
    <w:r>
      <w:fldChar w:fldCharType="begin"/>
    </w:r>
    <w:r>
      <w:rPr>
        <w:rStyle w:val="9"/>
      </w:rPr>
      <w:instrText xml:space="preserve"> PAGE  </w:instrText>
    </w:r>
    <w:r>
      <w:fldChar w:fldCharType="separate"/>
    </w:r>
    <w:r>
      <w:rPr>
        <w:rStyle w:val="9"/>
      </w:rPr>
      <w:t>3</w:t>
    </w:r>
    <w:r>
      <w:fldChar w:fldCharType="end"/>
    </w:r>
  </w:p>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622300"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2300" cy="230505"/>
                      </a:xfrm>
                      <a:prstGeom prst="rect">
                        <a:avLst/>
                      </a:prstGeom>
                      <a:noFill/>
                      <a:ln>
                        <a:noFill/>
                      </a:ln>
                    </wps:spPr>
                    <wps:txbx>
                      <w:txbxContent>
                        <w:p>
                          <w:pPr>
                            <w:rPr>
                              <w:rFonts w:hint="eastAsia"/>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75pt;height:18.15pt;width:49pt;mso-position-horizontal:outside;mso-position-horizontal-relative:margin;mso-wrap-style:none;z-index:251659264;mso-width-relative:page;mso-height-relative:page;" filled="f" stroked="f" coordsize="21600,21600" o:gfxdata="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urEbvSAAAABQEAAA8AAAAA&#10;AAAAAQAgAAAAIgAAAGRycy9kb3ducmV2LnhtbFBLAQIUABQAAAAIAIdO4kC6mOfy4QEAALwDAAAO&#10;AAAAAAAAAAEAIAAAACEBAABkcnMvZTJvRG9jLnhtbFBLBQYAAAAABgAGAFkBAAB0BQAAAAA=&#10;">
              <v:fill on="f" focussize="0,0"/>
              <v:stroke on="f"/>
              <v:imagedata o:title=""/>
              <o:lock v:ext="edit" aspectratio="f"/>
              <v:textbox inset="0mm,0mm,0mm,0mm" style="mso-fit-shape-to-text:t;">
                <w:txbxContent>
                  <w:p>
                    <w:pPr>
                      <w:rPr>
                        <w:rFonts w:hint="eastAsia"/>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31445"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1445" cy="233680"/>
                      </a:xfrm>
                      <a:prstGeom prst="rect">
                        <a:avLst/>
                      </a:prstGeom>
                      <a:noFill/>
                      <a:ln>
                        <a:noFill/>
                      </a:ln>
                    </wps:spPr>
                    <wps:txbx>
                      <w:txbxContent>
                        <w:p>
                          <w:pPr>
                            <w:rPr>
                              <w:rFonts w:hint="eastAsia"/>
                              <w:lang w:val="en-US" w:eastAsia="zh-CN"/>
                            </w:rPr>
                          </w:pPr>
                          <w:r>
                            <w:rPr>
                              <w:rFonts w:hint="eastAsia"/>
                              <w:lang w:val="en-US" w:eastAsia="zh-CN"/>
                            </w:rPr>
                            <w:t xml:space="preserve">                                 </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0pt;height:18.4pt;width:10.35pt;mso-position-horizontal:outside;mso-position-horizontal-relative:margin;z-index:251660288;mso-width-relative:page;mso-height-relative:page;" filled="f" stroked="f" coordsize="21600,21600" o:gfxdata="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9lU1NQAAAADAQAADwAAAAAAAAAB&#10;ACAAAAAiAAAAZHJzL2Rvd25yZXYueG1sUEsBAhQAFAAAAAgAh07iQPX90NvbAQAApAMAAA4AAAAA&#10;AAAAAQAgAAAAIwEAAGRycy9lMm9Eb2MueG1sUEsFBgAAAAAGAAYAWQEAAHAFAAAAAA==&#10;">
              <v:fill on="f" focussize="0,0"/>
              <v:stroke on="f"/>
              <v:imagedata o:title=""/>
              <o:lock v:ext="edit" aspectratio="f"/>
              <v:textbox inset="0mm,0mm,0mm,0mm">
                <w:txbxContent>
                  <w:p>
                    <w:pPr>
                      <w:rPr>
                        <w:rFonts w:hint="eastAsia"/>
                        <w:lang w:val="en-US" w:eastAsia="zh-CN"/>
                      </w:rPr>
                    </w:pPr>
                    <w:r>
                      <w:rPr>
                        <w:rFonts w:hint="eastAsia"/>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20"/>
  <w:drawingGridVerticalSpacing w:val="295"/>
  <w:displayHorizontalDrawingGridEvery w:val="1"/>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444097"/>
    <w:rsid w:val="659224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kern w:val="2"/>
      <w:sz w:val="32"/>
      <w:lang w:val="en-US" w:eastAsia="zh-CN" w:bidi="ar-SA"/>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ind w:left="420" w:leftChars="200"/>
    </w:p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uiPriority w:val="0"/>
  </w:style>
  <w:style w:type="character" w:styleId="10">
    <w:name w:val="Hyperlink"/>
    <w:basedOn w:val="8"/>
    <w:uiPriority w:val="0"/>
    <w:rPr>
      <w:color w:val="0000FF"/>
      <w:u w:val="single"/>
    </w:rPr>
  </w:style>
  <w:style w:type="character" w:customStyle="1" w:styleId="11">
    <w:name w:val="green121"/>
    <w:basedOn w:val="8"/>
    <w:uiPriority w:val="0"/>
    <w:rPr>
      <w:rFonts w:hint="default" w:ascii="ˎ̥" w:hAnsi="ˎ̥"/>
      <w:color w:val="0A5D21"/>
      <w:sz w:val="18"/>
      <w:szCs w:val="18"/>
      <w:u w:val="none"/>
    </w:rPr>
  </w:style>
  <w:style w:type="paragraph" w:customStyle="1" w:styleId="12">
    <w:name w:val=" Char"/>
    <w:basedOn w:val="1"/>
    <w:uiPriority w:val="0"/>
    <w:pPr>
      <w:widowControl/>
      <w:spacing w:after="160" w:afterLines="0" w:line="240" w:lineRule="exact"/>
      <w:jc w:val="left"/>
    </w:pPr>
    <w:rPr>
      <w:sz w:val="21"/>
      <w:szCs w:val="24"/>
    </w:rPr>
  </w:style>
  <w:style w:type="paragraph" w:customStyle="1" w:styleId="13">
    <w:name w:val="_Style 6"/>
    <w:basedOn w:val="1"/>
    <w:uiPriority w:val="0"/>
    <w:pPr>
      <w:widowControl/>
      <w:spacing w:after="160" w:afterLines="0" w:line="240" w:lineRule="exact"/>
      <w:jc w:val="left"/>
    </w:pPr>
    <w:rPr>
      <w:sz w:val="21"/>
      <w:szCs w:val="24"/>
    </w:rPr>
  </w:style>
  <w:style w:type="paragraph" w:customStyle="1" w:styleId="14">
    <w:name w:val=" Char Char Char Char Char Char Char Char Char Char Char Char"/>
    <w:basedOn w:val="1"/>
    <w:uiPriority w:val="0"/>
    <w:pPr>
      <w:tabs>
        <w:tab w:val="left" w:pos="425"/>
      </w:tabs>
      <w:ind w:left="425" w:hanging="425"/>
    </w:pPr>
    <w:rPr>
      <w:rFonts w:eastAsia="仿宋_GB2312"/>
      <w:snapToGrid w:val="0"/>
      <w:kern w:val="24"/>
      <w:sz w:val="24"/>
      <w:szCs w:val="28"/>
    </w:rPr>
  </w:style>
  <w:style w:type="paragraph" w:customStyle="1" w:styleId="15">
    <w:name w:val="p0"/>
    <w:basedOn w:val="1"/>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省农业农村厅</Company>
  <Pages>7</Pages>
  <Words>2654</Words>
  <Characters>2696</Characters>
  <Lines>0</Lines>
  <Paragraphs>0</Paragraphs>
  <TotalTime>35</TotalTime>
  <ScaleCrop>false</ScaleCrop>
  <LinksUpToDate>false</LinksUpToDate>
  <CharactersWithSpaces>2731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2021-02-02T16:55:00Z</dcterms:created>
  <dc:creator>WPS_133775106</dc:creator>
  <cp:lastModifiedBy>PPAP</cp:lastModifiedBy>
  <cp:lastPrinted>2022-02-28T08:54:15Z</cp:lastPrinted>
  <dcterms:modified xsi:type="dcterms:W3CDTF">2022-03-03T07:37:11Z</dcterms:modified>
  <dc:title>一、该项目补助资金已由省财政厅以粤财农[2013]475号文下达给各有关财政局，各地要抓紧落实项目资金，加强管理，专款专用，严禁挤占、截留和挪用，确保资金资金使用安全。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userName">
    <vt:lpwstr>涂丽君</vt:lpwstr>
  </property>
  <property fmtid="{D5CDD505-2E9C-101B-9397-08002B2CF9AE}" pid="4" name="showFlag">
    <vt:bool>true</vt:bool>
  </property>
  <property fmtid="{D5CDD505-2E9C-101B-9397-08002B2CF9AE}" pid="5" name="ICV">
    <vt:lpwstr>F66DF449DFDD4DFA9A3796E865ED6DFF</vt:lpwstr>
  </property>
</Properties>
</file>