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default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附件5：</w:t>
      </w:r>
    </w:p>
    <w:tbl>
      <w:tblPr>
        <w:tblStyle w:val="3"/>
        <w:tblpPr w:leftFromText="180" w:rightFromText="180" w:vertAnchor="text" w:horzAnchor="page" w:tblpX="1567" w:tblpY="701"/>
        <w:tblOverlap w:val="never"/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1365"/>
        <w:gridCol w:w="3150"/>
        <w:gridCol w:w="177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2021年河源市申报艺术初级、中级专业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技术资格评审通过人员名单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技术资格等级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缪龚舜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河源市源城区山歌剧团有限公司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四级舞台技术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王海州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河源市源城区山歌剧团有限公司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三级演员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罗娘朵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东源县绿韵艺术团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四级演员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初级（认定）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279C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2022-06-20T09:29:42Z</dcterms:modified>
  <dc:title>附件5：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