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河源市财政局关于更新普法责任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清单（2022年修订）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局机关各科室、下属各事业单位：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为进一步明确普法内容和普法责任，实现分类普法、精准普法，根据有关法律法规规章等规定，现将更新后的《河源市财政局普法责任清单》予以印发。请局各责任科室（单位）切实履行主体责任，采取多种形式抓好财政法治宣传教育工作，推动我局财政法治宣传教育工作取得新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河源市财政局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河源市财政局普法责任清单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（2022年修订）</w:t>
      </w:r>
    </w:p>
    <w:tbl>
      <w:tblPr>
        <w:tblStyle w:val="5"/>
        <w:tblW w:w="9562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702"/>
        <w:gridCol w:w="2723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重点宣传的普法内容</w:t>
            </w:r>
          </w:p>
        </w:tc>
        <w:tc>
          <w:tcPr>
            <w:tcW w:w="272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责任科室</w:t>
            </w:r>
          </w:p>
        </w:tc>
        <w:tc>
          <w:tcPr>
            <w:tcW w:w="134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协调科室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法规税政科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法规税政科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中华人民共和国宪法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法规税政科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中国共产党章程、中国共产党廉洁自律准则、中国共产党纪律处分条例等党内法规规定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机关党委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中华人民共和国民法典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法规税政科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信访工作条例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办公室会相关科室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中华人民共和国预算法及其实施条例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预算科、国库科、监督科及各业务科室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各单行税法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法规税政科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财政票据管理办法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票据监管中心、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行政事业性国有资产管理条例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资产管理科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中华人民共和国会计法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会计科、监督科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中华人民共和国注册会计师法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会计科、监督科、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市注协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中华人民共和国政府采购法及其实施条例、政府采购框架协议采购方式管理暂行办法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政府采购监管科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民共和国资产评估法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会计科、监督科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财政违法行为处罚处分条例、财政部门监督办法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监督科及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各业务科室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中华人民共和国行政复议法、中华人民共和国行政诉讼法、中华人民共和国行政处罚法，中华人民共和国行政许可法、财政处罚听证实施办法</w:t>
            </w:r>
          </w:p>
        </w:tc>
        <w:tc>
          <w:tcPr>
            <w:tcW w:w="2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8"/>
                <w:szCs w:val="28"/>
                <w:vertAlign w:val="baseline"/>
                <w:lang w:val="en-US" w:eastAsia="zh-CN"/>
              </w:rPr>
              <w:t>法规税政科、会计科、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政府采购监管科、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监督科等执法科室</w:t>
            </w:r>
          </w:p>
        </w:tc>
        <w:tc>
          <w:tcPr>
            <w:tcW w:w="134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D67CF"/>
    <w:rsid w:val="2BCD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2022-08-04T09:25:00Z</dcterms:created>
  <dc:creator>夏广玉</dc:creator>
  <cp:lastModifiedBy>夏广玉</cp:lastModifiedBy>
  <dcterms:modified xsi:type="dcterms:W3CDTF">2022-08-04T09:26:09Z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