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54" w:tblpY="3438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73"/>
        <w:gridCol w:w="2061"/>
        <w:gridCol w:w="1417"/>
        <w:gridCol w:w="1697"/>
        <w:gridCol w:w="1470"/>
        <w:gridCol w:w="1710"/>
        <w:gridCol w:w="1650"/>
        <w:gridCol w:w="1185"/>
        <w:gridCol w:w="1365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87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合同金额（万）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立项年度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合同截止时间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承担单位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负责人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辖区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5" w:hRule="atLeast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高效节能、变频冷暖、轻量化、新能源客车空调关键技术的研究及产业化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2015B010136001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2015年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2017年6月30日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广东劲达制冷集团有限公司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余远霖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市高新区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eastAsia="zh-CN"/>
        </w:rPr>
        <w:t>河源市拟推荐至省科技厅实施被动终止项目名单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B05EF"/>
    <w:rsid w:val="73AB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2022-08-18T02:33:00Z</dcterms:created>
  <dc:creator>傅彦文</dc:creator>
  <cp:lastModifiedBy>傅彦文</cp:lastModifiedBy>
  <cp:lastPrinted>2022-08-18T02:39:03Z</cp:lastPrinted>
  <dcterms:modified xsi:type="dcterms:W3CDTF">2022-08-18T02:47:38Z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