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河源市2021年省促进经济高质量发展专项资金知识产权保护类项目结题验收结果</w:t>
      </w:r>
    </w:p>
    <w:tbl>
      <w:tblPr>
        <w:tblStyle w:val="3"/>
        <w:tblpPr w:leftFromText="180" w:rightFromText="180" w:vertAnchor="text" w:horzAnchor="page" w:tblpXSpec="center" w:tblpY="483"/>
        <w:tblOverlap w:val="never"/>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3094"/>
        <w:gridCol w:w="2580"/>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30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项目</w:t>
            </w:r>
          </w:p>
        </w:tc>
        <w:tc>
          <w:tcPr>
            <w:tcW w:w="2580"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承担单位</w:t>
            </w:r>
          </w:p>
        </w:tc>
        <w:tc>
          <w:tcPr>
            <w:tcW w:w="2051"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09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30"/>
                <w:szCs w:val="30"/>
                <w:lang w:val="en-US" w:eastAsia="zh-CN" w:bidi="ar"/>
              </w:rPr>
              <w:t>知识产权行政裁决效能</w:t>
            </w:r>
            <w:r>
              <w:rPr>
                <w:rFonts w:hint="eastAsia" w:ascii="仿宋" w:hAnsi="仿宋" w:eastAsia="仿宋" w:cs="仿宋"/>
                <w:color w:val="000000"/>
                <w:kern w:val="0"/>
                <w:sz w:val="30"/>
                <w:szCs w:val="30"/>
                <w:lang w:val="en-US" w:eastAsia="zh-CN" w:bidi="ar"/>
              </w:rPr>
              <w:t>提升项目</w:t>
            </w:r>
          </w:p>
        </w:tc>
        <w:tc>
          <w:tcPr>
            <w:tcW w:w="258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龙川</w:t>
            </w:r>
            <w:r>
              <w:rPr>
                <w:rFonts w:ascii="仿宋" w:hAnsi="仿宋" w:eastAsia="仿宋" w:cs="仿宋"/>
                <w:color w:val="000000"/>
                <w:kern w:val="0"/>
                <w:sz w:val="28"/>
                <w:szCs w:val="28"/>
                <w:lang w:val="en-US" w:eastAsia="zh-CN" w:bidi="ar"/>
              </w:rPr>
              <w:t>县市场监督</w:t>
            </w:r>
          </w:p>
          <w:p>
            <w:pPr>
              <w:keepNext w:val="0"/>
              <w:keepLines w:val="0"/>
              <w:pageBreakBefore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管理局</w:t>
            </w:r>
          </w:p>
        </w:tc>
        <w:tc>
          <w:tcPr>
            <w:tcW w:w="20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通过验收，</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eastAsiaTheme="minorEastAsia"/>
                <w:sz w:val="32"/>
                <w:szCs w:val="32"/>
                <w:vertAlign w:val="baseline"/>
                <w:lang w:eastAsia="zh-CN"/>
              </w:rPr>
            </w:pPr>
            <w:r>
              <w:rPr>
                <w:rFonts w:hint="eastAsia" w:ascii="仿宋" w:hAnsi="仿宋" w:eastAsia="仿宋" w:cs="仿宋"/>
                <w:color w:val="000000"/>
                <w:kern w:val="0"/>
                <w:sz w:val="28"/>
                <w:szCs w:val="28"/>
                <w:lang w:val="en-US" w:eastAsia="zh-CN" w:bidi="ar"/>
              </w:rPr>
              <w:t>优秀执行项目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09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32"/>
                <w:szCs w:val="32"/>
                <w:lang w:val="en-US" w:eastAsia="zh-CN" w:bidi="ar"/>
              </w:rPr>
            </w:pPr>
          </w:p>
        </w:tc>
        <w:tc>
          <w:tcPr>
            <w:tcW w:w="25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和平县市场监督</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管理局</w:t>
            </w:r>
          </w:p>
        </w:tc>
        <w:tc>
          <w:tcPr>
            <w:tcW w:w="20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通过验收，</w:t>
            </w:r>
          </w:p>
          <w:p>
            <w:pPr>
              <w:keepNext w:val="0"/>
              <w:keepLines w:val="0"/>
              <w:pageBreakBefore w:val="0"/>
              <w:kinsoku/>
              <w:wordWrap/>
              <w:overflowPunct/>
              <w:topLinePunct w:val="0"/>
              <w:autoSpaceDE/>
              <w:autoSpaceDN/>
              <w:bidi w:val="0"/>
              <w:adjustRightInd/>
              <w:snapToGrid/>
              <w:spacing w:line="440" w:lineRule="exact"/>
              <w:jc w:val="center"/>
              <w:textAlignment w:val="auto"/>
              <w:rPr>
                <w:sz w:val="32"/>
                <w:szCs w:val="32"/>
                <w:vertAlign w:val="baseline"/>
              </w:rPr>
            </w:pPr>
            <w:r>
              <w:rPr>
                <w:rFonts w:hint="eastAsia" w:ascii="仿宋" w:hAnsi="仿宋" w:eastAsia="仿宋" w:cs="仿宋"/>
                <w:color w:val="000000"/>
                <w:kern w:val="0"/>
                <w:sz w:val="28"/>
                <w:szCs w:val="28"/>
                <w:lang w:val="en-US" w:eastAsia="zh-CN" w:bidi="ar"/>
              </w:rPr>
              <w:t>优秀执行项目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094"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知识产权行政纠纷</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调解</w:t>
            </w:r>
            <w:r>
              <w:rPr>
                <w:rFonts w:hint="eastAsia" w:ascii="仿宋" w:hAnsi="仿宋" w:eastAsia="仿宋" w:cs="仿宋"/>
                <w:color w:val="000000"/>
                <w:kern w:val="0"/>
                <w:sz w:val="28"/>
                <w:szCs w:val="28"/>
                <w:lang w:val="en-US" w:eastAsia="zh-CN" w:bidi="ar"/>
              </w:rPr>
              <w:t>能力建设项目</w:t>
            </w:r>
          </w:p>
        </w:tc>
        <w:tc>
          <w:tcPr>
            <w:tcW w:w="25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河源市</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知识产权协会</w:t>
            </w:r>
          </w:p>
        </w:tc>
        <w:tc>
          <w:tcPr>
            <w:tcW w:w="20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sz w:val="32"/>
                <w:szCs w:val="32"/>
                <w:vertAlign w:val="baseline"/>
              </w:rPr>
            </w:pPr>
            <w:r>
              <w:rPr>
                <w:rFonts w:hint="eastAsia" w:ascii="仿宋" w:hAnsi="仿宋" w:eastAsia="仿宋" w:cs="仿宋"/>
                <w:color w:val="000000"/>
                <w:kern w:val="0"/>
                <w:sz w:val="28"/>
                <w:szCs w:val="28"/>
                <w:lang w:val="en-US" w:eastAsia="zh-CN" w:bidi="ar"/>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3094"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pPr>
            <w:r>
              <w:rPr>
                <w:rFonts w:ascii="仿宋" w:hAnsi="仿宋" w:eastAsia="仿宋" w:cs="仿宋"/>
                <w:color w:val="000000"/>
                <w:kern w:val="0"/>
                <w:sz w:val="28"/>
                <w:szCs w:val="28"/>
                <w:lang w:val="en-US" w:eastAsia="zh-CN" w:bidi="ar"/>
              </w:rPr>
              <w:t>重点市场知识产权</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hint="eastAsia" w:ascii="仿宋" w:hAnsi="仿宋" w:eastAsia="仿宋" w:cs="仿宋"/>
                <w:color w:val="000000"/>
                <w:kern w:val="0"/>
                <w:sz w:val="28"/>
                <w:szCs w:val="28"/>
                <w:lang w:val="en-US" w:eastAsia="zh-CN" w:bidi="ar"/>
              </w:rPr>
              <w:t>保护项目</w:t>
            </w:r>
          </w:p>
        </w:tc>
        <w:tc>
          <w:tcPr>
            <w:tcW w:w="25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广东省知识产权</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研究会</w:t>
            </w:r>
          </w:p>
        </w:tc>
        <w:tc>
          <w:tcPr>
            <w:tcW w:w="20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sz w:val="32"/>
                <w:szCs w:val="32"/>
                <w:vertAlign w:val="baseline"/>
              </w:rPr>
            </w:pPr>
            <w:r>
              <w:rPr>
                <w:rFonts w:hint="eastAsia" w:ascii="仿宋" w:hAnsi="仿宋" w:eastAsia="仿宋" w:cs="仿宋"/>
                <w:color w:val="000000"/>
                <w:kern w:val="0"/>
                <w:sz w:val="28"/>
                <w:szCs w:val="28"/>
                <w:lang w:val="en-US" w:eastAsia="zh-CN" w:bidi="ar"/>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309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地理标志产品培育项目</w:t>
            </w:r>
          </w:p>
        </w:tc>
        <w:tc>
          <w:tcPr>
            <w:tcW w:w="25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广州嘉权专利商标事务</w:t>
            </w:r>
            <w:r>
              <w:rPr>
                <w:rFonts w:hint="eastAsia" w:ascii="仿宋" w:hAnsi="仿宋" w:eastAsia="仿宋" w:cs="仿宋"/>
                <w:color w:val="000000"/>
                <w:kern w:val="0"/>
                <w:sz w:val="28"/>
                <w:szCs w:val="28"/>
                <w:lang w:val="en-US" w:eastAsia="zh-CN" w:bidi="ar"/>
              </w:rPr>
              <w:t>所有限公司</w:t>
            </w:r>
          </w:p>
        </w:tc>
        <w:tc>
          <w:tcPr>
            <w:tcW w:w="20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通过验收，</w:t>
            </w:r>
          </w:p>
          <w:p>
            <w:pPr>
              <w:keepNext w:val="0"/>
              <w:keepLines w:val="0"/>
              <w:pageBreakBefore w:val="0"/>
              <w:kinsoku/>
              <w:wordWrap/>
              <w:overflowPunct/>
              <w:topLinePunct w:val="0"/>
              <w:autoSpaceDE/>
              <w:autoSpaceDN/>
              <w:bidi w:val="0"/>
              <w:adjustRightInd/>
              <w:snapToGrid/>
              <w:spacing w:line="440" w:lineRule="exact"/>
              <w:jc w:val="center"/>
              <w:textAlignment w:val="auto"/>
              <w:rPr>
                <w:sz w:val="32"/>
                <w:szCs w:val="32"/>
                <w:vertAlign w:val="baseline"/>
              </w:rPr>
            </w:pPr>
            <w:r>
              <w:rPr>
                <w:rFonts w:hint="eastAsia" w:ascii="仿宋" w:hAnsi="仿宋" w:eastAsia="仿宋" w:cs="仿宋"/>
                <w:color w:val="000000"/>
                <w:kern w:val="0"/>
                <w:sz w:val="28"/>
                <w:szCs w:val="28"/>
                <w:lang w:val="en-US" w:eastAsia="zh-CN" w:bidi="ar"/>
              </w:rPr>
              <w:t>优秀执行项目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3094" w:type="dxa"/>
            <w:vMerge w:val="continue"/>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sz w:val="32"/>
                <w:szCs w:val="32"/>
                <w:vertAlign w:val="baseline"/>
              </w:rPr>
            </w:pPr>
          </w:p>
        </w:tc>
        <w:tc>
          <w:tcPr>
            <w:tcW w:w="25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华研（广州）知识产权</w:t>
            </w:r>
            <w:r>
              <w:rPr>
                <w:rFonts w:hint="eastAsia" w:ascii="仿宋" w:hAnsi="仿宋" w:eastAsia="仿宋" w:cs="仿宋"/>
                <w:color w:val="000000"/>
                <w:kern w:val="0"/>
                <w:sz w:val="28"/>
                <w:szCs w:val="28"/>
                <w:lang w:val="en-US" w:eastAsia="zh-CN" w:bidi="ar"/>
              </w:rPr>
              <w:t>运营服务有限公司</w:t>
            </w:r>
          </w:p>
        </w:tc>
        <w:tc>
          <w:tcPr>
            <w:tcW w:w="20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sz w:val="32"/>
                <w:szCs w:val="32"/>
                <w:vertAlign w:val="baseline"/>
              </w:rPr>
            </w:pPr>
            <w:r>
              <w:rPr>
                <w:rFonts w:hint="eastAsia" w:ascii="仿宋" w:hAnsi="仿宋" w:eastAsia="仿宋" w:cs="仿宋"/>
                <w:color w:val="000000"/>
                <w:kern w:val="0"/>
                <w:sz w:val="28"/>
                <w:szCs w:val="28"/>
                <w:lang w:val="en-US" w:eastAsia="zh-CN" w:bidi="ar"/>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3094"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地理标志产品专用标志</w:t>
            </w:r>
            <w:r>
              <w:rPr>
                <w:rFonts w:hint="eastAsia" w:ascii="仿宋" w:hAnsi="仿宋" w:eastAsia="仿宋" w:cs="仿宋"/>
                <w:color w:val="000000"/>
                <w:kern w:val="0"/>
                <w:sz w:val="28"/>
                <w:szCs w:val="28"/>
                <w:lang w:val="en-US" w:eastAsia="zh-CN" w:bidi="ar"/>
              </w:rPr>
              <w:t>核准改革试点项目</w:t>
            </w:r>
          </w:p>
        </w:tc>
        <w:tc>
          <w:tcPr>
            <w:tcW w:w="25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sz w:val="32"/>
                <w:szCs w:val="32"/>
                <w:vertAlign w:val="baseline"/>
              </w:rPr>
            </w:pPr>
            <w:r>
              <w:rPr>
                <w:rFonts w:ascii="仿宋" w:hAnsi="仿宋" w:eastAsia="仿宋" w:cs="仿宋"/>
                <w:color w:val="000000"/>
                <w:kern w:val="0"/>
                <w:sz w:val="28"/>
                <w:szCs w:val="28"/>
                <w:lang w:val="en-US" w:eastAsia="zh-CN" w:bidi="ar"/>
              </w:rPr>
              <w:t>广州中新知识产权服务</w:t>
            </w:r>
            <w:r>
              <w:rPr>
                <w:rFonts w:hint="eastAsia" w:ascii="仿宋" w:hAnsi="仿宋" w:eastAsia="仿宋" w:cs="仿宋"/>
                <w:color w:val="000000"/>
                <w:kern w:val="0"/>
                <w:sz w:val="28"/>
                <w:szCs w:val="28"/>
                <w:lang w:val="en-US" w:eastAsia="zh-CN" w:bidi="ar"/>
              </w:rPr>
              <w:t>有限公司</w:t>
            </w:r>
          </w:p>
        </w:tc>
        <w:tc>
          <w:tcPr>
            <w:tcW w:w="20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sz w:val="32"/>
                <w:szCs w:val="32"/>
                <w:vertAlign w:val="baseline"/>
              </w:rPr>
            </w:pPr>
            <w:bookmarkStart w:id="0" w:name="_GoBack"/>
            <w:bookmarkEnd w:id="0"/>
            <w:r>
              <w:rPr>
                <w:rFonts w:hint="eastAsia" w:ascii="仿宋" w:hAnsi="仿宋" w:eastAsia="仿宋" w:cs="仿宋"/>
                <w:color w:val="000000"/>
                <w:kern w:val="0"/>
                <w:sz w:val="28"/>
                <w:szCs w:val="28"/>
                <w:lang w:val="en-US" w:eastAsia="zh-CN" w:bidi="ar"/>
              </w:rPr>
              <w:t>通过验收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7A9B5CDB"/>
    <w:rsid w:val="03135A64"/>
    <w:rsid w:val="09BF0E66"/>
    <w:rsid w:val="5B570177"/>
    <w:rsid w:val="5BEB33BB"/>
    <w:rsid w:val="5DEA633A"/>
    <w:rsid w:val="66CD5C68"/>
    <w:rsid w:val="75273A0B"/>
    <w:rsid w:val="7A9B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263</Characters>
  <Lines>0</Lines>
  <Paragraphs>0</Paragraphs>
  <TotalTime>1</TotalTime>
  <ScaleCrop>false</ScaleCrop>
  <LinksUpToDate>false</LinksUpToDate>
  <CharactersWithSpaces>263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2022-08-30T07:35:00Z</dcterms:created>
  <dc:creator>逗逗奇迹柒七一</dc:creator>
  <cp:lastModifiedBy>逗逗奇迹柒七一</cp:lastModifiedBy>
  <cp:lastPrinted>2022-09-09T01:04:55Z</cp:lastPrinted>
  <dcterms:modified xsi:type="dcterms:W3CDTF">2022-09-09T01:07:30Z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776C9EBAD09F409C9CE579FB222FA809</vt:lpwstr>
  </property>
</Properties>
</file>