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Lines="-2147483648" w:afterLines="-2147483648" w:line="540" w:lineRule="exact"/>
        <w:textAlignment w:val="auto"/>
        <w:rPr>
          <w:rFonts w:hint="eastAsia" w:ascii="仿宋" w:hAnsi="仿宋" w:eastAsia="黑体" w:cs="Times New Roman"/>
          <w:sz w:val="32"/>
          <w:szCs w:val="24"/>
          <w:lang w:val="en-US" w:eastAsia="zh-CN" w:bidi="ar-SA"/>
        </w:rPr>
      </w:pPr>
      <w:r>
        <w:rPr>
          <w:rFonts w:hint="eastAsia" w:ascii="黑体" w:hAnsi="黑体" w:eastAsia="黑体" w:cs="仿宋"/>
          <w:sz w:val="32"/>
          <w:szCs w:val="32"/>
          <w:lang w:bidi="ar-SA"/>
        </w:rPr>
        <w:t>附件</w:t>
      </w:r>
      <w:r>
        <w:rPr>
          <w:rFonts w:hint="eastAsia" w:ascii="黑体" w:hAnsi="黑体" w:eastAsia="黑体" w:cs="仿宋"/>
          <w:sz w:val="32"/>
          <w:szCs w:val="32"/>
          <w:lang w:val="en-US" w:eastAsia="zh-CN" w:bidi="ar-SA"/>
        </w:rPr>
        <w:t>3</w:t>
      </w:r>
    </w:p>
    <w:p>
      <w:pPr>
        <w:keepNext w:val="0"/>
        <w:keepLines w:val="0"/>
        <w:pageBreakBefore w:val="0"/>
        <w:kinsoku/>
        <w:wordWrap/>
        <w:overflowPunct/>
        <w:topLinePunct w:val="0"/>
        <w:autoSpaceDE/>
        <w:autoSpaceDN/>
        <w:bidi w:val="0"/>
        <w:spacing w:beforeLines="-2147483648" w:afterLines="-2147483648" w:line="540" w:lineRule="exact"/>
        <w:jc w:val="center"/>
        <w:textAlignment w:val="auto"/>
        <w:rPr>
          <w:rFonts w:hint="eastAsia" w:ascii="Calibri" w:hAnsi="Calibri" w:eastAsia="宋体" w:cs="Times New Roman"/>
          <w:sz w:val="8"/>
          <w:szCs w:val="4"/>
        </w:rPr>
      </w:pPr>
      <w:r>
        <w:rPr>
          <w:rFonts w:hint="eastAsia" w:ascii="方正小标宋简体" w:hAnsi="仿宋" w:eastAsia="方正小标宋简体" w:cs="仿宋"/>
          <w:sz w:val="44"/>
          <w:szCs w:val="44"/>
          <w:lang w:bidi="ar-SA"/>
        </w:rPr>
        <w:t>关于部分检验项目的说明</w:t>
      </w:r>
    </w:p>
    <w:p>
      <w:pPr>
        <w:keepNext w:val="0"/>
        <w:keepLines w:val="0"/>
        <w:widowControl/>
        <w:suppressLineNumbers w:val="0"/>
        <w:wordWrap w:val="0"/>
        <w:jc w:val="left"/>
        <w:rPr>
          <w:rFonts w:hint="eastAsia" w:ascii="仿宋_GB2312" w:hAnsi="仿宋_GB2312" w:eastAsia="仿宋_GB2312" w:cs="Times New Roman"/>
          <w:color w:val="auto"/>
          <w:w w:val="98"/>
          <w:kern w:val="2"/>
          <w:sz w:val="32"/>
          <w:szCs w:val="20"/>
          <w:lang w:val="en-US" w:eastAsia="zh-CN" w:bidi="ar-SA"/>
        </w:rPr>
      </w:pPr>
    </w:p>
    <w:p>
      <w:pPr>
        <w:keepNext w:val="0"/>
        <w:keepLines w:val="0"/>
        <w:pageBreakBefore w:val="0"/>
        <w:kinsoku/>
        <w:wordWrap/>
        <w:overflowPunct/>
        <w:topLinePunct w:val="0"/>
        <w:autoSpaceDE/>
        <w:autoSpaceDN/>
        <w:bidi w:val="0"/>
        <w:spacing w:line="540" w:lineRule="exact"/>
        <w:ind w:left="0" w:leftChars="0" w:firstLine="629" w:firstLineChars="200"/>
        <w:textAlignment w:val="auto"/>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（一）山梨酸及其钾盐</w:t>
      </w:r>
    </w:p>
    <w:p>
      <w:pPr>
        <w:keepNext w:val="0"/>
        <w:keepLines w:val="0"/>
        <w:widowControl/>
        <w:suppressLineNumbers w:val="0"/>
        <w:wordWrap w:val="0"/>
        <w:ind w:left="0"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山梨酸及其钾盐抗菌性强，防腐效果好，是目前应用非常广泛的食品防腐剂</w:t>
      </w:r>
      <w:r>
        <w:rPr>
          <w:rFonts w:hint="eastAsia" w:ascii="仿宋_GB2312" w:hAnsi="仿宋_GB2312" w:eastAsia="仿宋_GB2312" w:cs="Times New Roman"/>
          <w:color w:val="auto"/>
          <w:w w:val="98"/>
          <w:kern w:val="2"/>
          <w:sz w:val="32"/>
          <w:szCs w:val="20"/>
          <w:lang w:val="en-US" w:eastAsia="zh-CN" w:bidi="ar-SA"/>
        </w:rPr>
        <w:t>，</w:t>
      </w:r>
      <w:r>
        <w:rPr>
          <w:rFonts w:ascii="Times New Roman" w:hAnsi="Times New Roman" w:eastAsia="仿宋_GB2312"/>
          <w:sz w:val="32"/>
          <w:szCs w:val="32"/>
        </w:rPr>
        <w:t>具有较好的抑菌效果和防霉性能，对霉菌、酵母菌和好</w:t>
      </w:r>
      <w:r>
        <w:rPr>
          <w:rFonts w:hint="eastAsia" w:ascii="Times New Roman" w:hAnsi="Times New Roman" w:eastAsia="仿宋_GB2312"/>
          <w:sz w:val="32"/>
          <w:szCs w:val="32"/>
        </w:rPr>
        <w:t>氧</w:t>
      </w:r>
      <w:r>
        <w:rPr>
          <w:rFonts w:ascii="Times New Roman" w:hAnsi="Times New Roman" w:eastAsia="仿宋_GB2312"/>
          <w:sz w:val="32"/>
          <w:szCs w:val="32"/>
        </w:rPr>
        <w:t>性细菌的生长发育均有抑制作用</w:t>
      </w:r>
      <w:r>
        <w:rPr>
          <w:rFonts w:hint="default" w:ascii="仿宋_GB2312" w:hAnsi="仿宋_GB2312" w:eastAsia="仿宋_GB2312" w:cs="Times New Roman"/>
          <w:color w:val="auto"/>
          <w:w w:val="98"/>
          <w:kern w:val="2"/>
          <w:sz w:val="32"/>
          <w:szCs w:val="20"/>
          <w:lang w:val="en-US" w:eastAsia="zh-CN" w:bidi="ar-SA"/>
        </w:rPr>
        <w:t>。《食品安全国家标准 食品添加剂使用标准》（GB 2760—2014）中规定，熟肉制品中山梨酸及其钾盐的最大使用量为0.075g/kg。造成山梨酸及其钾盐（以山梨酸计）不合格的原因，可能是企业为延长产品保质期或者为弥补产品生产中卫生条件不佳而超限量使用。长期食用山梨酸及其钾盐超标的食品，对</w:t>
      </w:r>
      <w:r>
        <w:rPr>
          <w:rFonts w:hint="eastAsia" w:ascii="仿宋_GB2312" w:hAnsi="仿宋_GB2312" w:eastAsia="仿宋_GB2312" w:cs="Times New Roman"/>
          <w:color w:val="auto"/>
          <w:w w:val="98"/>
          <w:kern w:val="2"/>
          <w:sz w:val="32"/>
          <w:szCs w:val="20"/>
          <w:lang w:val="en-US" w:eastAsia="zh-CN" w:bidi="ar-SA"/>
        </w:rPr>
        <w:t>人体</w:t>
      </w:r>
      <w:r>
        <w:rPr>
          <w:rFonts w:hint="default" w:ascii="仿宋_GB2312" w:hAnsi="仿宋_GB2312" w:eastAsia="仿宋_GB2312" w:cs="Times New Roman"/>
          <w:color w:val="auto"/>
          <w:w w:val="98"/>
          <w:kern w:val="2"/>
          <w:sz w:val="32"/>
          <w:szCs w:val="20"/>
          <w:lang w:val="en-US" w:eastAsia="zh-CN" w:bidi="ar-SA"/>
        </w:rPr>
        <w:t>健康有一定影响</w:t>
      </w:r>
      <w:r>
        <w:rPr>
          <w:rFonts w:hint="eastAsia" w:ascii="仿宋_GB2312" w:hAnsi="仿宋_GB2312" w:eastAsia="仿宋_GB2312" w:cs="Times New Roman"/>
          <w:color w:val="auto"/>
          <w:w w:val="98"/>
          <w:kern w:val="2"/>
          <w:sz w:val="32"/>
          <w:szCs w:val="20"/>
          <w:lang w:val="en-US" w:eastAsia="zh-CN" w:bidi="ar-SA"/>
        </w:rPr>
        <w:t>。</w:t>
      </w:r>
    </w:p>
    <w:p>
      <w:pPr>
        <w:keepNext w:val="0"/>
        <w:keepLines w:val="0"/>
        <w:pageBreakBefore w:val="0"/>
        <w:kinsoku/>
        <w:wordWrap/>
        <w:overflowPunct/>
        <w:topLinePunct w:val="0"/>
        <w:autoSpaceDE/>
        <w:autoSpaceDN/>
        <w:bidi w:val="0"/>
        <w:spacing w:line="540" w:lineRule="exact"/>
        <w:ind w:left="0" w:leftChars="0" w:firstLine="629" w:firstLineChars="200"/>
        <w:textAlignment w:val="auto"/>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（二）防腐剂混合使用时各自用量占其最大使用量的比例之和</w:t>
      </w:r>
    </w:p>
    <w:p>
      <w:pPr>
        <w:keepNext w:val="0"/>
        <w:keepLines w:val="0"/>
        <w:widowControl/>
        <w:suppressLineNumbers w:val="0"/>
        <w:wordWrap w:val="0"/>
        <w:ind w:left="0" w:firstLine="626" w:firstLineChars="200"/>
        <w:jc w:val="left"/>
        <w:rPr>
          <w:rFonts w:hint="eastAsia"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防腐剂是指天然或合成的化学成分，用于加入食品以抑制微生物生长或化学变化引起的腐败。常见的防腐剂有苯甲酸及其钠盐、山梨酸及其钠盐等。《食品安全国家标准 食品添加剂使用标准》（GB 2760—2014）中规定，防腐剂</w:t>
      </w:r>
      <w:r>
        <w:rPr>
          <w:rFonts w:hint="eastAsia" w:ascii="仿宋_GB2312" w:hAnsi="仿宋_GB2312" w:eastAsia="仿宋_GB2312" w:cs="Times New Roman"/>
          <w:color w:val="auto"/>
          <w:w w:val="98"/>
          <w:kern w:val="2"/>
          <w:sz w:val="32"/>
          <w:szCs w:val="20"/>
          <w:lang w:val="en-US" w:eastAsia="zh-CN" w:bidi="ar-SA"/>
        </w:rPr>
        <w:t>在</w:t>
      </w:r>
      <w:r>
        <w:rPr>
          <w:rFonts w:hint="default" w:ascii="仿宋_GB2312" w:hAnsi="仿宋_GB2312" w:eastAsia="仿宋_GB2312" w:cs="Times New Roman"/>
          <w:color w:val="auto"/>
          <w:w w:val="98"/>
          <w:kern w:val="2"/>
          <w:sz w:val="32"/>
          <w:szCs w:val="20"/>
          <w:lang w:val="en-US" w:eastAsia="zh-CN" w:bidi="ar-SA"/>
        </w:rPr>
        <w:t>混合使用时各自用量占其最大使用量的比例之和不应超过1。防腐剂混合使用时各自用量占其最大使用量的比例之和检测值超标的原因，可能是生产企业在生产加工过程中未严格控制各防腐剂的用量造成的</w:t>
      </w:r>
      <w:r>
        <w:rPr>
          <w:rFonts w:hint="eastAsia" w:ascii="仿宋_GB2312" w:hAnsi="仿宋_GB2312" w:eastAsia="仿宋_GB2312" w:cs="Times New Roman"/>
          <w:color w:val="auto"/>
          <w:w w:val="98"/>
          <w:kern w:val="2"/>
          <w:sz w:val="32"/>
          <w:szCs w:val="20"/>
          <w:lang w:val="en-US" w:eastAsia="zh-CN" w:bidi="ar-SA"/>
        </w:rPr>
        <w:t>。</w:t>
      </w:r>
      <w:r>
        <w:rPr>
          <w:rFonts w:hint="default" w:ascii="仿宋_GB2312" w:hAnsi="仿宋_GB2312" w:eastAsia="仿宋_GB2312" w:cs="Times New Roman"/>
          <w:color w:val="auto"/>
          <w:w w:val="98"/>
          <w:kern w:val="2"/>
          <w:sz w:val="32"/>
          <w:szCs w:val="20"/>
          <w:lang w:val="en-US" w:eastAsia="zh-CN" w:bidi="ar-SA"/>
        </w:rPr>
        <w:t>长期</w:t>
      </w:r>
      <w:r>
        <w:rPr>
          <w:rFonts w:hint="eastAsia" w:ascii="仿宋_GB2312" w:hAnsi="仿宋_GB2312" w:eastAsia="仿宋_GB2312" w:cs="Times New Roman"/>
          <w:color w:val="auto"/>
          <w:w w:val="98"/>
          <w:kern w:val="2"/>
          <w:sz w:val="32"/>
          <w:szCs w:val="20"/>
          <w:lang w:val="en-US" w:eastAsia="zh-CN" w:bidi="ar-SA"/>
        </w:rPr>
        <w:t>食用防腐剂混合</w:t>
      </w:r>
      <w:r>
        <w:rPr>
          <w:rFonts w:hint="default" w:ascii="仿宋_GB2312" w:hAnsi="仿宋_GB2312" w:eastAsia="仿宋_GB2312" w:cs="Times New Roman"/>
          <w:color w:val="auto"/>
          <w:w w:val="98"/>
          <w:kern w:val="2"/>
          <w:sz w:val="32"/>
          <w:szCs w:val="20"/>
          <w:lang w:val="en-US" w:eastAsia="zh-CN" w:bidi="ar-SA"/>
        </w:rPr>
        <w:t>超标的食品，对</w:t>
      </w:r>
      <w:r>
        <w:rPr>
          <w:rFonts w:hint="eastAsia" w:ascii="仿宋_GB2312" w:hAnsi="仿宋_GB2312" w:eastAsia="仿宋_GB2312" w:cs="Times New Roman"/>
          <w:color w:val="auto"/>
          <w:w w:val="98"/>
          <w:kern w:val="2"/>
          <w:sz w:val="32"/>
          <w:szCs w:val="20"/>
          <w:lang w:val="en-US" w:eastAsia="zh-CN" w:bidi="ar-SA"/>
        </w:rPr>
        <w:t>人体</w:t>
      </w:r>
      <w:r>
        <w:rPr>
          <w:rFonts w:hint="default" w:ascii="仿宋_GB2312" w:hAnsi="仿宋_GB2312" w:eastAsia="仿宋_GB2312" w:cs="Times New Roman"/>
          <w:color w:val="auto"/>
          <w:w w:val="98"/>
          <w:kern w:val="2"/>
          <w:sz w:val="32"/>
          <w:szCs w:val="20"/>
          <w:lang w:val="en-US" w:eastAsia="zh-CN" w:bidi="ar-SA"/>
        </w:rPr>
        <w:t>健康有一定影响</w:t>
      </w:r>
      <w:r>
        <w:rPr>
          <w:rFonts w:hint="eastAsia" w:ascii="仿宋_GB2312" w:hAnsi="仿宋_GB2312" w:eastAsia="仿宋_GB2312" w:cs="Times New Roman"/>
          <w:color w:val="auto"/>
          <w:w w:val="98"/>
          <w:kern w:val="2"/>
          <w:sz w:val="32"/>
          <w:szCs w:val="20"/>
          <w:lang w:val="en-US" w:eastAsia="zh-CN" w:bidi="ar-SA"/>
        </w:rPr>
        <w:t>。</w:t>
      </w:r>
    </w:p>
    <w:p>
      <w:pPr>
        <w:keepNext w:val="0"/>
        <w:keepLines w:val="0"/>
        <w:pageBreakBefore w:val="0"/>
        <w:kinsoku/>
        <w:wordWrap/>
        <w:overflowPunct/>
        <w:topLinePunct w:val="0"/>
        <w:autoSpaceDE/>
        <w:autoSpaceDN/>
        <w:bidi w:val="0"/>
        <w:spacing w:line="540" w:lineRule="exact"/>
        <w:ind w:left="0" w:leftChars="0" w:firstLine="629" w:firstLineChars="200"/>
        <w:textAlignment w:val="auto"/>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（三）菌落总数</w:t>
      </w:r>
    </w:p>
    <w:p>
      <w:pPr>
        <w:keepNext w:val="0"/>
        <w:keepLines w:val="0"/>
        <w:pageBreakBefore w:val="0"/>
        <w:widowControl/>
        <w:numPr>
          <w:ilvl w:val="0"/>
          <w:numId w:val="0"/>
        </w:numPr>
        <w:kinsoku/>
        <w:wordWrap/>
        <w:overflowPunct/>
        <w:topLinePunct w:val="0"/>
        <w:autoSpaceDE/>
        <w:autoSpaceDN/>
        <w:bidi w:val="0"/>
        <w:adjustRightInd w:val="0"/>
        <w:snapToGrid w:val="0"/>
        <w:spacing w:beforeLines="0" w:afterLines="0" w:line="540" w:lineRule="exact"/>
        <w:ind w:firstLine="626" w:firstLineChars="200"/>
        <w:jc w:val="left"/>
        <w:textAlignment w:val="auto"/>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color w:val="auto"/>
          <w:w w:val="98"/>
          <w:kern w:val="2"/>
          <w:sz w:val="32"/>
          <w:szCs w:val="20"/>
          <w:lang w:val="en-US" w:eastAsia="zh-CN" w:bidi="ar-SA"/>
        </w:rPr>
        <w:t>菌落总数是指示性微生物指标，并非致病菌指标，主要用来评价食品清洁度，反映食品在生产过程中是否符合卫生要求。《食品安全国家标准 熟肉制品》（GB 2726—2016）中规定熟肉制品（除发酵肉制品外），一个样品的5次检测结果均不得超过10</w:t>
      </w:r>
      <w:r>
        <w:rPr>
          <w:rFonts w:hint="eastAsia" w:ascii="仿宋_GB2312" w:hAnsi="仿宋_GB2312" w:eastAsia="仿宋_GB2312" w:cs="Times New Roman"/>
          <w:color w:val="auto"/>
          <w:w w:val="98"/>
          <w:kern w:val="2"/>
          <w:sz w:val="32"/>
          <w:szCs w:val="20"/>
          <w:vertAlign w:val="superscript"/>
          <w:lang w:val="en-US" w:eastAsia="zh-CN" w:bidi="ar-SA"/>
        </w:rPr>
        <w:t>5</w:t>
      </w:r>
      <w:r>
        <w:rPr>
          <w:rFonts w:hint="eastAsia" w:ascii="仿宋_GB2312" w:hAnsi="仿宋_GB2312" w:eastAsia="仿宋_GB2312" w:cs="Times New Roman"/>
          <w:color w:val="auto"/>
          <w:w w:val="98"/>
          <w:kern w:val="2"/>
          <w:sz w:val="32"/>
          <w:szCs w:val="20"/>
          <w:lang w:val="en-US" w:eastAsia="zh-CN" w:bidi="ar-SA"/>
        </w:rPr>
        <w:t>CFU/g且至少3次检测结果不超过10</w:t>
      </w:r>
      <w:r>
        <w:rPr>
          <w:rFonts w:hint="eastAsia" w:ascii="仿宋_GB2312" w:hAnsi="仿宋_GB2312" w:eastAsia="仿宋_GB2312" w:cs="Times New Roman"/>
          <w:color w:val="auto"/>
          <w:w w:val="98"/>
          <w:kern w:val="2"/>
          <w:sz w:val="32"/>
          <w:szCs w:val="20"/>
          <w:vertAlign w:val="superscript"/>
          <w:lang w:val="en-US" w:eastAsia="zh-CN" w:bidi="ar-SA"/>
        </w:rPr>
        <w:t>4</w:t>
      </w:r>
      <w:r>
        <w:rPr>
          <w:rFonts w:hint="eastAsia" w:ascii="仿宋_GB2312" w:hAnsi="仿宋_GB2312" w:eastAsia="仿宋_GB2312" w:cs="Times New Roman"/>
          <w:color w:val="auto"/>
          <w:w w:val="98"/>
          <w:kern w:val="2"/>
          <w:sz w:val="32"/>
          <w:szCs w:val="20"/>
          <w:lang w:val="en-US" w:eastAsia="zh-CN" w:bidi="ar-SA"/>
        </w:rPr>
        <w:t>CFU/g；菌落总数超标可能是个别企业所使用的原辅料初始菌数较高，又未按要求严格控制生产加工过程的卫生条件，或者包装容器清洗消毒不到位，还有可能与产品包装密封不严、储运条件控制不当等有关。</w:t>
      </w:r>
    </w:p>
    <w:p>
      <w:pPr>
        <w:keepNext w:val="0"/>
        <w:keepLines w:val="0"/>
        <w:pageBreakBefore w:val="0"/>
        <w:kinsoku/>
        <w:wordWrap/>
        <w:overflowPunct/>
        <w:topLinePunct w:val="0"/>
        <w:autoSpaceDE/>
        <w:autoSpaceDN/>
        <w:bidi w:val="0"/>
        <w:spacing w:line="540" w:lineRule="exact"/>
        <w:ind w:left="0" w:leftChars="0" w:firstLine="629" w:firstLineChars="200"/>
        <w:textAlignment w:val="auto"/>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（四）黄曲霉毒素B1</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highlight w:val="none"/>
          <w:lang w:val="en-US" w:eastAsia="zh-CN" w:bidi="ar-SA"/>
        </w:rPr>
      </w:pPr>
      <w:r>
        <w:rPr>
          <w:rFonts w:hint="eastAsia" w:ascii="仿宋_GB2312" w:hAnsi="仿宋_GB2312" w:eastAsia="仿宋_GB2312" w:cs="Times New Roman"/>
          <w:color w:val="auto"/>
          <w:w w:val="98"/>
          <w:kern w:val="2"/>
          <w:sz w:val="32"/>
          <w:szCs w:val="20"/>
          <w:highlight w:val="none"/>
          <w:lang w:val="en-US" w:eastAsia="zh-CN" w:bidi="ar-SA"/>
        </w:rPr>
        <w:t>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是一种强致癌性的真菌毒素。食用黄曲霉毒素B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超标的食品，可能对肝脏造成损害。《食品安全国家标准 食品中真菌毒素限量》（GB 2761—2017）中规定，黄曲霉毒素B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在花生及其制品中的最大限量值为20μg/kg。花生油中黄曲霉毒素B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超标的原因，可能是生产企业使用的原料因储存条件不当产生了黄曲霉毒素B</w:t>
      </w:r>
      <w:r>
        <w:rPr>
          <w:rFonts w:hint="eastAsia" w:ascii="仿宋_GB2312" w:hAnsi="仿宋_GB2312" w:eastAsia="仿宋_GB2312" w:cs="Times New Roman"/>
          <w:color w:val="auto"/>
          <w:w w:val="98"/>
          <w:kern w:val="2"/>
          <w:sz w:val="32"/>
          <w:szCs w:val="20"/>
          <w:highlight w:val="none"/>
          <w:vertAlign w:val="subscript"/>
          <w:lang w:val="en-US" w:eastAsia="zh-CN" w:bidi="ar-SA"/>
        </w:rPr>
        <w:t>1</w:t>
      </w:r>
      <w:r>
        <w:rPr>
          <w:rFonts w:hint="eastAsia" w:ascii="仿宋_GB2312" w:hAnsi="仿宋_GB2312" w:eastAsia="仿宋_GB2312" w:cs="Times New Roman"/>
          <w:color w:val="auto"/>
          <w:w w:val="98"/>
          <w:kern w:val="2"/>
          <w:sz w:val="32"/>
          <w:szCs w:val="20"/>
          <w:highlight w:val="none"/>
          <w:lang w:val="en-US" w:eastAsia="zh-CN" w:bidi="ar-SA"/>
        </w:rPr>
        <w:t>；也可能是生产加工过程中卫生条件控制不严格；还可能与产品包装密封不严、储运条件控制不当等有关。</w:t>
      </w:r>
    </w:p>
    <w:p>
      <w:pPr>
        <w:keepNext w:val="0"/>
        <w:keepLines w:val="0"/>
        <w:widowControl/>
        <w:suppressLineNumbers w:val="0"/>
        <w:wordWrap w:val="0"/>
        <w:ind w:firstLine="629" w:firstLineChars="200"/>
        <w:jc w:val="left"/>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（五）过氧化值</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highlight w:val="none"/>
          <w:lang w:val="en-US" w:eastAsia="zh-CN" w:bidi="ar-SA"/>
        </w:rPr>
      </w:pPr>
      <w:r>
        <w:rPr>
          <w:rFonts w:hint="default" w:ascii="仿宋_GB2312" w:hAnsi="仿宋_GB2312" w:eastAsia="仿宋_GB2312" w:cs="Times New Roman"/>
          <w:color w:val="auto"/>
          <w:w w:val="98"/>
          <w:kern w:val="2"/>
          <w:sz w:val="32"/>
          <w:szCs w:val="20"/>
          <w:lang w:val="en-US" w:eastAsia="zh-CN" w:bidi="ar-SA"/>
        </w:rPr>
        <w:t>过氧化值主要反映油脂的被氧化程度，是油脂酸败的早期指标。食用过氧化值超标的食品一般不会对人体健康造成损害，但长期食用严重超标的食品可能导致肠胃不适、腹泻等。《食品安全国家标准 植物油》（GB 2716-2018）中规定，</w:t>
      </w:r>
      <w:r>
        <w:rPr>
          <w:rFonts w:hint="eastAsia" w:ascii="仿宋_GB2312" w:hAnsi="仿宋_GB2312" w:eastAsia="仿宋_GB2312" w:cs="Times New Roman"/>
          <w:color w:val="auto"/>
          <w:w w:val="98"/>
          <w:kern w:val="2"/>
          <w:sz w:val="32"/>
          <w:szCs w:val="20"/>
          <w:highlight w:val="none"/>
          <w:lang w:val="en-US" w:eastAsia="zh-CN" w:bidi="ar-SA"/>
        </w:rPr>
        <w:t>过氧化值在花生油中的最大限量值为0.25g/100g。</w:t>
      </w:r>
      <w:r>
        <w:rPr>
          <w:rFonts w:hint="eastAsia" w:ascii="仿宋_GB2312" w:hAnsi="仿宋_GB2312" w:eastAsia="仿宋_GB2312" w:cs="Times New Roman"/>
          <w:color w:val="auto"/>
          <w:w w:val="98"/>
          <w:kern w:val="2"/>
          <w:sz w:val="32"/>
          <w:szCs w:val="20"/>
          <w:lang w:val="en-US" w:eastAsia="zh-CN" w:bidi="ar-SA"/>
        </w:rPr>
        <w:t>过氧化值超标的原因可能是生产企业使用的原料因储存条件不当或存放过久导致原料中的油脂发生氧化；也可能是生产加工过程中操作工艺控制不当；还可能与产品包装密封不严、储运条件控制不当等有关。</w:t>
      </w:r>
    </w:p>
    <w:p>
      <w:pPr>
        <w:keepNext w:val="0"/>
        <w:keepLines w:val="0"/>
        <w:pageBreakBefore w:val="0"/>
        <w:kinsoku/>
        <w:wordWrap/>
        <w:overflowPunct/>
        <w:topLinePunct w:val="0"/>
        <w:autoSpaceDE/>
        <w:autoSpaceDN/>
        <w:bidi w:val="0"/>
        <w:spacing w:line="540" w:lineRule="exact"/>
        <w:ind w:left="0" w:leftChars="0" w:firstLine="629" w:firstLineChars="200"/>
        <w:textAlignment w:val="auto"/>
        <w:rPr>
          <w:rFonts w:hint="eastAsia" w:ascii="仿宋_GB2312" w:hAnsi="仿宋_GB2312" w:eastAsia="仿宋_GB2312" w:cs="Times New Roman"/>
          <w:b/>
          <w:bCs/>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（六）铅(以Pb计)</w:t>
      </w:r>
    </w:p>
    <w:p>
      <w:pPr>
        <w:keepNext w:val="0"/>
        <w:keepLines w:val="0"/>
        <w:widowControl/>
        <w:suppressLineNumbers w:val="0"/>
        <w:wordWrap w:val="0"/>
        <w:ind w:firstLine="626" w:firstLineChars="200"/>
        <w:jc w:val="left"/>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color w:val="auto"/>
          <w:w w:val="98"/>
          <w:kern w:val="2"/>
          <w:sz w:val="32"/>
          <w:szCs w:val="20"/>
          <w:lang w:val="en-US" w:eastAsia="zh-CN" w:bidi="ar-SA"/>
        </w:rPr>
        <w:t>铅是常见重金属污染物，是一种严重危害人体健康的重金属元素，人体中理想的含铅量为零。《食品安全国家标准 食品中污染物限量》（</w:t>
      </w:r>
      <w:r>
        <w:rPr>
          <w:rFonts w:hint="default" w:ascii="仿宋_GB2312" w:hAnsi="仿宋_GB2312" w:eastAsia="仿宋_GB2312" w:cs="Times New Roman"/>
          <w:color w:val="auto"/>
          <w:w w:val="98"/>
          <w:kern w:val="2"/>
          <w:sz w:val="32"/>
          <w:szCs w:val="20"/>
          <w:lang w:val="en-US" w:eastAsia="zh-CN" w:bidi="ar-SA"/>
        </w:rPr>
        <w:t>GB 2762-2017</w:t>
      </w:r>
      <w:r>
        <w:rPr>
          <w:rFonts w:hint="eastAsia" w:ascii="仿宋_GB2312" w:hAnsi="仿宋_GB2312" w:eastAsia="仿宋_GB2312" w:cs="Times New Roman"/>
          <w:color w:val="auto"/>
          <w:w w:val="98"/>
          <w:kern w:val="2"/>
          <w:sz w:val="32"/>
          <w:szCs w:val="20"/>
          <w:lang w:val="en-US" w:eastAsia="zh-CN" w:bidi="ar-SA"/>
        </w:rPr>
        <w:t>）中</w:t>
      </w:r>
      <w:r>
        <w:rPr>
          <w:rFonts w:hint="default" w:ascii="仿宋_GB2312" w:hAnsi="仿宋_GB2312" w:eastAsia="仿宋_GB2312" w:cs="Times New Roman"/>
          <w:color w:val="auto"/>
          <w:w w:val="98"/>
          <w:kern w:val="2"/>
          <w:sz w:val="32"/>
          <w:szCs w:val="20"/>
          <w:lang w:val="en-US" w:eastAsia="zh-CN" w:bidi="ar-SA"/>
        </w:rPr>
        <w:t>规定新鲜蔬菜（</w:t>
      </w:r>
      <w:r>
        <w:rPr>
          <w:rFonts w:hint="eastAsia" w:ascii="仿宋_GB2312" w:hAnsi="仿宋_GB2312" w:eastAsia="仿宋_GB2312" w:cs="Times New Roman"/>
          <w:color w:val="auto"/>
          <w:w w:val="98"/>
          <w:kern w:val="2"/>
          <w:sz w:val="32"/>
          <w:szCs w:val="20"/>
          <w:lang w:val="en-US" w:eastAsia="zh-CN" w:bidi="ar-SA"/>
        </w:rPr>
        <w:t>芸薹类蔬菜、叶菜蔬菜、豆类蔬菜、薯类除外</w:t>
      </w:r>
      <w:r>
        <w:rPr>
          <w:rFonts w:hint="default" w:ascii="仿宋_GB2312" w:hAnsi="仿宋_GB2312" w:eastAsia="仿宋_GB2312" w:cs="Times New Roman"/>
          <w:color w:val="auto"/>
          <w:w w:val="98"/>
          <w:kern w:val="2"/>
          <w:sz w:val="32"/>
          <w:szCs w:val="20"/>
          <w:lang w:val="en-US" w:eastAsia="zh-CN" w:bidi="ar-SA"/>
        </w:rPr>
        <w:t>）中铅限量值为≤0.1mg/kg</w:t>
      </w:r>
      <w:r>
        <w:rPr>
          <w:rFonts w:hint="eastAsia" w:ascii="仿宋_GB2312" w:hAnsi="仿宋_GB2312" w:eastAsia="仿宋_GB2312" w:cs="Times New Roman"/>
          <w:color w:val="auto"/>
          <w:w w:val="98"/>
          <w:kern w:val="2"/>
          <w:sz w:val="32"/>
          <w:szCs w:val="20"/>
          <w:lang w:val="en-US" w:eastAsia="zh-CN" w:bidi="ar-SA"/>
        </w:rPr>
        <w:t>。生姜</w:t>
      </w:r>
      <w:r>
        <w:rPr>
          <w:rFonts w:hint="default" w:ascii="仿宋_GB2312" w:hAnsi="仿宋_GB2312" w:eastAsia="仿宋_GB2312" w:cs="Times New Roman"/>
          <w:color w:val="auto"/>
          <w:w w:val="98"/>
          <w:kern w:val="2"/>
          <w:sz w:val="32"/>
          <w:szCs w:val="20"/>
          <w:lang w:val="en-US" w:eastAsia="zh-CN" w:bidi="ar-SA"/>
        </w:rPr>
        <w:t>中检出铅含量超标，主要是蔬菜种植</w:t>
      </w:r>
      <w:r>
        <w:rPr>
          <w:rFonts w:hint="eastAsia" w:ascii="仿宋_GB2312" w:hAnsi="仿宋_GB2312" w:eastAsia="仿宋_GB2312" w:cs="Times New Roman"/>
          <w:color w:val="auto"/>
          <w:w w:val="98"/>
          <w:kern w:val="2"/>
          <w:sz w:val="32"/>
          <w:szCs w:val="20"/>
          <w:lang w:val="en-US" w:eastAsia="zh-CN" w:bidi="ar-SA"/>
        </w:rPr>
        <w:t>、生产过程中通过土壤、空气、水等途径导致铅污染，也可能是过量使用含铅农药造成农作物的铅污染。</w:t>
      </w:r>
      <w:r>
        <w:rPr>
          <w:rFonts w:hint="default" w:ascii="仿宋_GB2312" w:hAnsi="仿宋_GB2312" w:eastAsia="仿宋_GB2312" w:cs="Times New Roman"/>
          <w:color w:val="auto"/>
          <w:w w:val="98"/>
          <w:kern w:val="2"/>
          <w:sz w:val="32"/>
          <w:szCs w:val="20"/>
          <w:lang w:val="en-US" w:eastAsia="zh-CN" w:bidi="ar-SA"/>
        </w:rPr>
        <w:t>长期食用</w:t>
      </w:r>
      <w:r>
        <w:rPr>
          <w:rFonts w:hint="eastAsia" w:ascii="仿宋_GB2312" w:hAnsi="仿宋_GB2312" w:eastAsia="仿宋_GB2312" w:cs="Times New Roman"/>
          <w:color w:val="auto"/>
          <w:w w:val="98"/>
          <w:kern w:val="2"/>
          <w:sz w:val="32"/>
          <w:szCs w:val="20"/>
          <w:lang w:val="en-US" w:eastAsia="zh-CN" w:bidi="ar-SA"/>
        </w:rPr>
        <w:t>铅</w:t>
      </w:r>
      <w:r>
        <w:rPr>
          <w:rFonts w:hint="default" w:ascii="仿宋_GB2312" w:hAnsi="仿宋_GB2312" w:eastAsia="仿宋_GB2312" w:cs="Times New Roman"/>
          <w:color w:val="auto"/>
          <w:w w:val="98"/>
          <w:kern w:val="2"/>
          <w:sz w:val="32"/>
          <w:szCs w:val="20"/>
          <w:lang w:val="en-US" w:eastAsia="zh-CN" w:bidi="ar-SA"/>
        </w:rPr>
        <w:t>超标的食品，对</w:t>
      </w:r>
      <w:r>
        <w:rPr>
          <w:rFonts w:hint="eastAsia" w:ascii="仿宋_GB2312" w:hAnsi="仿宋_GB2312" w:eastAsia="仿宋_GB2312" w:cs="Times New Roman"/>
          <w:color w:val="auto"/>
          <w:w w:val="98"/>
          <w:kern w:val="2"/>
          <w:sz w:val="32"/>
          <w:szCs w:val="20"/>
          <w:lang w:val="en-US" w:eastAsia="zh-CN" w:bidi="ar-SA"/>
        </w:rPr>
        <w:t>人体</w:t>
      </w:r>
      <w:r>
        <w:rPr>
          <w:rFonts w:hint="default" w:ascii="仿宋_GB2312" w:hAnsi="仿宋_GB2312" w:eastAsia="仿宋_GB2312" w:cs="Times New Roman"/>
          <w:color w:val="auto"/>
          <w:w w:val="98"/>
          <w:kern w:val="2"/>
          <w:sz w:val="32"/>
          <w:szCs w:val="20"/>
          <w:lang w:val="en-US" w:eastAsia="zh-CN" w:bidi="ar-SA"/>
        </w:rPr>
        <w:t>健康有一定影响</w:t>
      </w:r>
      <w:r>
        <w:rPr>
          <w:rFonts w:hint="eastAsia" w:ascii="仿宋_GB2312" w:hAnsi="仿宋_GB2312" w:eastAsia="仿宋_GB2312" w:cs="Times New Roman"/>
          <w:color w:val="auto"/>
          <w:w w:val="98"/>
          <w:kern w:val="2"/>
          <w:sz w:val="32"/>
          <w:szCs w:val="20"/>
          <w:lang w:val="en-US" w:eastAsia="zh-CN" w:bidi="ar-SA"/>
        </w:rPr>
        <w:t>。</w:t>
      </w:r>
    </w:p>
    <w:p>
      <w:pPr>
        <w:pStyle w:val="6"/>
        <w:keepNext w:val="0"/>
        <w:keepLines w:val="0"/>
        <w:pageBreakBefore w:val="0"/>
        <w:kinsoku/>
        <w:wordWrap/>
        <w:overflowPunct/>
        <w:topLinePunct w:val="0"/>
        <w:autoSpaceDE/>
        <w:autoSpaceDN/>
        <w:bidi w:val="0"/>
        <w:spacing w:line="540" w:lineRule="exact"/>
        <w:ind w:left="0" w:leftChars="0" w:firstLine="641" w:firstLineChars="204"/>
        <w:textAlignment w:val="auto"/>
        <w:rPr>
          <w:rFonts w:hint="eastAsia" w:ascii="仿宋_GB2312" w:hAnsi="仿宋_GB2312" w:eastAsia="仿宋_GB2312" w:cs="Times New Roman"/>
          <w:color w:val="auto"/>
          <w:w w:val="98"/>
          <w:kern w:val="2"/>
          <w:sz w:val="32"/>
          <w:szCs w:val="20"/>
          <w:lang w:val="en-US" w:eastAsia="zh-CN" w:bidi="ar-SA"/>
        </w:rPr>
      </w:pPr>
      <w:r>
        <w:rPr>
          <w:rFonts w:hint="eastAsia" w:ascii="仿宋_GB2312" w:hAnsi="仿宋_GB2312" w:eastAsia="仿宋_GB2312" w:cs="Times New Roman"/>
          <w:b/>
          <w:bCs/>
          <w:color w:val="auto"/>
          <w:w w:val="98"/>
          <w:kern w:val="2"/>
          <w:sz w:val="32"/>
          <w:szCs w:val="20"/>
          <w:lang w:val="en-US" w:eastAsia="zh-CN" w:bidi="ar-SA"/>
        </w:rPr>
        <w:t>（七）磺胺类（总量）</w:t>
      </w:r>
      <w:bookmarkStart w:id="0" w:name="_GoBack"/>
      <w:bookmarkEnd w:id="0"/>
    </w:p>
    <w:p>
      <w:pPr>
        <w:keepNext w:val="0"/>
        <w:keepLines w:val="0"/>
        <w:widowControl/>
        <w:suppressLineNumbers w:val="0"/>
        <w:wordWrap w:val="0"/>
        <w:ind w:firstLine="626" w:firstLineChars="200"/>
        <w:jc w:val="left"/>
        <w:rPr>
          <w:rFonts w:hint="default" w:ascii="仿宋_GB2312" w:hAnsi="仿宋_GB2312" w:eastAsia="仿宋_GB2312" w:cs="Times New Roman"/>
          <w:color w:val="auto"/>
          <w:w w:val="98"/>
          <w:kern w:val="2"/>
          <w:sz w:val="32"/>
          <w:szCs w:val="20"/>
          <w:lang w:val="en-US" w:eastAsia="zh-CN" w:bidi="ar-SA"/>
        </w:rPr>
      </w:pPr>
      <w:r>
        <w:rPr>
          <w:rFonts w:hint="default" w:ascii="仿宋_GB2312" w:hAnsi="仿宋_GB2312" w:eastAsia="仿宋_GB2312" w:cs="Times New Roman"/>
          <w:color w:val="auto"/>
          <w:w w:val="98"/>
          <w:kern w:val="2"/>
          <w:sz w:val="32"/>
          <w:szCs w:val="20"/>
          <w:lang w:val="en-US" w:eastAsia="zh-CN" w:bidi="ar-SA"/>
        </w:rPr>
        <w:t>磺胺类药物是一类人工合成的抑菌药，其具有抗菌谱广、性质稳定、便于贮存、吸收迅速等优点，用于动物疫病治疗。长期大量食用磺胺类（总量）残留超标的食品，可能在人体内蓄积，不利健康，可引起过敏反应和耐药性菌株的产生。《食品安全国家标准 食品中兽药最大残留限量》（GB 31650—2019）中规定，磺胺类（总量）在鱼的皮和肉中最大残留限量值为100μg/kg。淡水鱼中磺胺类（总量）残留量超标的原因，可能是在养殖过程中为快速控制疫病，违规加大用药量或不遵守休药期规定，致使上市销售产品中的药物残留量超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kZDY4Yzg5YTBjNTM1ZWI4YzA1ODQzYTk0MjIxOTQifQ=="/>
  </w:docVars>
  <w:rsids>
    <w:rsidRoot w:val="00000000"/>
    <w:rsid w:val="00014C9C"/>
    <w:rsid w:val="00844285"/>
    <w:rsid w:val="00A0031C"/>
    <w:rsid w:val="01086C64"/>
    <w:rsid w:val="013D4B60"/>
    <w:rsid w:val="01910A08"/>
    <w:rsid w:val="01CF1F27"/>
    <w:rsid w:val="023567F6"/>
    <w:rsid w:val="024A6667"/>
    <w:rsid w:val="031511C4"/>
    <w:rsid w:val="032A0A86"/>
    <w:rsid w:val="03C064E2"/>
    <w:rsid w:val="03FB4CD7"/>
    <w:rsid w:val="03FF434E"/>
    <w:rsid w:val="041B1A3F"/>
    <w:rsid w:val="04446205"/>
    <w:rsid w:val="04784101"/>
    <w:rsid w:val="048B3E34"/>
    <w:rsid w:val="04A24CDA"/>
    <w:rsid w:val="04DD5D12"/>
    <w:rsid w:val="04E15802"/>
    <w:rsid w:val="05212B27"/>
    <w:rsid w:val="05810D93"/>
    <w:rsid w:val="05C87B03"/>
    <w:rsid w:val="05D11D1B"/>
    <w:rsid w:val="05DE1F43"/>
    <w:rsid w:val="066F6E3E"/>
    <w:rsid w:val="069114AA"/>
    <w:rsid w:val="06C118B6"/>
    <w:rsid w:val="06E4088A"/>
    <w:rsid w:val="07007430"/>
    <w:rsid w:val="07520C39"/>
    <w:rsid w:val="077566D6"/>
    <w:rsid w:val="079B25E0"/>
    <w:rsid w:val="079D726B"/>
    <w:rsid w:val="08A70B11"/>
    <w:rsid w:val="08DB07BA"/>
    <w:rsid w:val="08E229AA"/>
    <w:rsid w:val="092D4DF7"/>
    <w:rsid w:val="09B50C68"/>
    <w:rsid w:val="09CF0DAD"/>
    <w:rsid w:val="09D04097"/>
    <w:rsid w:val="09FC30DE"/>
    <w:rsid w:val="0A252635"/>
    <w:rsid w:val="0A2543E3"/>
    <w:rsid w:val="0A9D041D"/>
    <w:rsid w:val="0ADE1C87"/>
    <w:rsid w:val="0AE52434"/>
    <w:rsid w:val="0AEB62EA"/>
    <w:rsid w:val="0AF41B2D"/>
    <w:rsid w:val="0B75579F"/>
    <w:rsid w:val="0BB77D4C"/>
    <w:rsid w:val="0BF3436E"/>
    <w:rsid w:val="0C440FE1"/>
    <w:rsid w:val="0C4502EF"/>
    <w:rsid w:val="0C7D7364"/>
    <w:rsid w:val="0C9870EE"/>
    <w:rsid w:val="0CD12600"/>
    <w:rsid w:val="0D505C1B"/>
    <w:rsid w:val="0DA87064"/>
    <w:rsid w:val="0DB2185C"/>
    <w:rsid w:val="0E0B7D94"/>
    <w:rsid w:val="0E110CC7"/>
    <w:rsid w:val="0E444E7A"/>
    <w:rsid w:val="0E9953A0"/>
    <w:rsid w:val="0EC22EC4"/>
    <w:rsid w:val="0ECC307F"/>
    <w:rsid w:val="0F242EBB"/>
    <w:rsid w:val="0FFA7511"/>
    <w:rsid w:val="10F44B0F"/>
    <w:rsid w:val="117619C8"/>
    <w:rsid w:val="11A025A1"/>
    <w:rsid w:val="11B12702"/>
    <w:rsid w:val="11CA30DA"/>
    <w:rsid w:val="11D741E0"/>
    <w:rsid w:val="12573966"/>
    <w:rsid w:val="125C13A6"/>
    <w:rsid w:val="126006AE"/>
    <w:rsid w:val="126A21E7"/>
    <w:rsid w:val="12863075"/>
    <w:rsid w:val="12CF1390"/>
    <w:rsid w:val="12E0534B"/>
    <w:rsid w:val="13760E51"/>
    <w:rsid w:val="1399374C"/>
    <w:rsid w:val="13A22600"/>
    <w:rsid w:val="13EE60D1"/>
    <w:rsid w:val="14164D9C"/>
    <w:rsid w:val="14245BF6"/>
    <w:rsid w:val="1432607A"/>
    <w:rsid w:val="143F60A1"/>
    <w:rsid w:val="14DF3E48"/>
    <w:rsid w:val="14EC0D54"/>
    <w:rsid w:val="152C0D1B"/>
    <w:rsid w:val="159D39C7"/>
    <w:rsid w:val="16CA259A"/>
    <w:rsid w:val="173A4A88"/>
    <w:rsid w:val="174F6F43"/>
    <w:rsid w:val="17571D9C"/>
    <w:rsid w:val="17D95D9B"/>
    <w:rsid w:val="18824A45"/>
    <w:rsid w:val="189F1804"/>
    <w:rsid w:val="18AD3F21"/>
    <w:rsid w:val="18B65D95"/>
    <w:rsid w:val="190F3B53"/>
    <w:rsid w:val="19362169"/>
    <w:rsid w:val="1B09565B"/>
    <w:rsid w:val="1B610FF3"/>
    <w:rsid w:val="1B8756CA"/>
    <w:rsid w:val="1B965141"/>
    <w:rsid w:val="1BA50C53"/>
    <w:rsid w:val="1BD3240C"/>
    <w:rsid w:val="1BDC68CC"/>
    <w:rsid w:val="1BE51C24"/>
    <w:rsid w:val="1C12289A"/>
    <w:rsid w:val="1C236240"/>
    <w:rsid w:val="1C7505F7"/>
    <w:rsid w:val="1CD43891"/>
    <w:rsid w:val="1CE26164"/>
    <w:rsid w:val="1D6F5C49"/>
    <w:rsid w:val="1DAE2FF5"/>
    <w:rsid w:val="1DBB5AD7"/>
    <w:rsid w:val="1DD2641B"/>
    <w:rsid w:val="1E087E4C"/>
    <w:rsid w:val="1E0A7720"/>
    <w:rsid w:val="1E560BB7"/>
    <w:rsid w:val="1E6C4F36"/>
    <w:rsid w:val="1E9811D0"/>
    <w:rsid w:val="1F6E3CDF"/>
    <w:rsid w:val="1FCF29CF"/>
    <w:rsid w:val="1FD66684"/>
    <w:rsid w:val="20032679"/>
    <w:rsid w:val="202658E7"/>
    <w:rsid w:val="202B1BD0"/>
    <w:rsid w:val="20457135"/>
    <w:rsid w:val="20AD6650"/>
    <w:rsid w:val="20AF2801"/>
    <w:rsid w:val="20B47E17"/>
    <w:rsid w:val="20E701EC"/>
    <w:rsid w:val="21467326"/>
    <w:rsid w:val="21703D3E"/>
    <w:rsid w:val="21BF3797"/>
    <w:rsid w:val="21C5052E"/>
    <w:rsid w:val="221B63A0"/>
    <w:rsid w:val="223A7870"/>
    <w:rsid w:val="224A0A33"/>
    <w:rsid w:val="229E48DB"/>
    <w:rsid w:val="22DF73CD"/>
    <w:rsid w:val="23384D2F"/>
    <w:rsid w:val="23F12437"/>
    <w:rsid w:val="245C5490"/>
    <w:rsid w:val="24853FA4"/>
    <w:rsid w:val="24981EA8"/>
    <w:rsid w:val="24DB3599"/>
    <w:rsid w:val="250C6474"/>
    <w:rsid w:val="250F1AC0"/>
    <w:rsid w:val="251F7F55"/>
    <w:rsid w:val="253B638E"/>
    <w:rsid w:val="2593196A"/>
    <w:rsid w:val="262E41C8"/>
    <w:rsid w:val="266C2C2D"/>
    <w:rsid w:val="26DB3FC4"/>
    <w:rsid w:val="27533EE6"/>
    <w:rsid w:val="275D49AC"/>
    <w:rsid w:val="27C608B1"/>
    <w:rsid w:val="27CA2CAA"/>
    <w:rsid w:val="27E234BC"/>
    <w:rsid w:val="27F51441"/>
    <w:rsid w:val="283209F9"/>
    <w:rsid w:val="283244AF"/>
    <w:rsid w:val="283A32F8"/>
    <w:rsid w:val="28445F24"/>
    <w:rsid w:val="28AD5878"/>
    <w:rsid w:val="28B27332"/>
    <w:rsid w:val="28C64B8B"/>
    <w:rsid w:val="291E0523"/>
    <w:rsid w:val="292D24B6"/>
    <w:rsid w:val="298505A2"/>
    <w:rsid w:val="298C7B83"/>
    <w:rsid w:val="29FB0865"/>
    <w:rsid w:val="2A036979"/>
    <w:rsid w:val="2A1A0CEB"/>
    <w:rsid w:val="2A400977"/>
    <w:rsid w:val="2A467D32"/>
    <w:rsid w:val="2A5E3ED8"/>
    <w:rsid w:val="2A605BB0"/>
    <w:rsid w:val="2A77438F"/>
    <w:rsid w:val="2AC450FA"/>
    <w:rsid w:val="2B211F52"/>
    <w:rsid w:val="2B920D55"/>
    <w:rsid w:val="2B936C47"/>
    <w:rsid w:val="2BA74800"/>
    <w:rsid w:val="2C3D0DA3"/>
    <w:rsid w:val="2CFC7029"/>
    <w:rsid w:val="2D0A773C"/>
    <w:rsid w:val="2D256324"/>
    <w:rsid w:val="2D5C0389"/>
    <w:rsid w:val="2D7D5637"/>
    <w:rsid w:val="2DB96A6D"/>
    <w:rsid w:val="2EE432E0"/>
    <w:rsid w:val="2F5051AF"/>
    <w:rsid w:val="2F546A4D"/>
    <w:rsid w:val="2FAD0853"/>
    <w:rsid w:val="2FD7142C"/>
    <w:rsid w:val="307E7ED7"/>
    <w:rsid w:val="30830840"/>
    <w:rsid w:val="31012C04"/>
    <w:rsid w:val="31292CB0"/>
    <w:rsid w:val="315076E8"/>
    <w:rsid w:val="315216B2"/>
    <w:rsid w:val="316F5DC0"/>
    <w:rsid w:val="31AD5366"/>
    <w:rsid w:val="31C85368"/>
    <w:rsid w:val="31DD71CE"/>
    <w:rsid w:val="33174961"/>
    <w:rsid w:val="33353039"/>
    <w:rsid w:val="3344327C"/>
    <w:rsid w:val="33C10429"/>
    <w:rsid w:val="33F9763E"/>
    <w:rsid w:val="343926B5"/>
    <w:rsid w:val="34587B1D"/>
    <w:rsid w:val="34923248"/>
    <w:rsid w:val="34B8182C"/>
    <w:rsid w:val="34C5219B"/>
    <w:rsid w:val="34DC09D9"/>
    <w:rsid w:val="351673D3"/>
    <w:rsid w:val="3590319C"/>
    <w:rsid w:val="35C366DA"/>
    <w:rsid w:val="35D75AF0"/>
    <w:rsid w:val="35EA1273"/>
    <w:rsid w:val="362B4280"/>
    <w:rsid w:val="363F316A"/>
    <w:rsid w:val="368C11C2"/>
    <w:rsid w:val="371A07CC"/>
    <w:rsid w:val="373F5974"/>
    <w:rsid w:val="37890A28"/>
    <w:rsid w:val="379B110E"/>
    <w:rsid w:val="37AC319E"/>
    <w:rsid w:val="37EB6CD4"/>
    <w:rsid w:val="381F7BCF"/>
    <w:rsid w:val="38726196"/>
    <w:rsid w:val="38F848ED"/>
    <w:rsid w:val="38F90665"/>
    <w:rsid w:val="39A94297"/>
    <w:rsid w:val="39DC5FBD"/>
    <w:rsid w:val="39E6508D"/>
    <w:rsid w:val="3A3E4582"/>
    <w:rsid w:val="3A402444"/>
    <w:rsid w:val="3AC41E48"/>
    <w:rsid w:val="3AE07F36"/>
    <w:rsid w:val="3AE710BD"/>
    <w:rsid w:val="3B230AF4"/>
    <w:rsid w:val="3B4848E9"/>
    <w:rsid w:val="3B81506E"/>
    <w:rsid w:val="3B88367D"/>
    <w:rsid w:val="3BEA27FA"/>
    <w:rsid w:val="3C1852A6"/>
    <w:rsid w:val="3C495460"/>
    <w:rsid w:val="3C8A7F52"/>
    <w:rsid w:val="3CB36E5B"/>
    <w:rsid w:val="3D474095"/>
    <w:rsid w:val="3D507ADA"/>
    <w:rsid w:val="3D7604D6"/>
    <w:rsid w:val="3DA711B3"/>
    <w:rsid w:val="3DB427FD"/>
    <w:rsid w:val="3E03620E"/>
    <w:rsid w:val="3E2D5039"/>
    <w:rsid w:val="3E894239"/>
    <w:rsid w:val="3EC15781"/>
    <w:rsid w:val="3F56236D"/>
    <w:rsid w:val="3F6A406B"/>
    <w:rsid w:val="3F78523B"/>
    <w:rsid w:val="3FEB29BB"/>
    <w:rsid w:val="3FF108B6"/>
    <w:rsid w:val="40780E15"/>
    <w:rsid w:val="407A3CE0"/>
    <w:rsid w:val="407A71DE"/>
    <w:rsid w:val="40C17CBA"/>
    <w:rsid w:val="40C63F6B"/>
    <w:rsid w:val="40C652D1"/>
    <w:rsid w:val="40CD2B03"/>
    <w:rsid w:val="40DC2D46"/>
    <w:rsid w:val="41151DB4"/>
    <w:rsid w:val="41700B79"/>
    <w:rsid w:val="41DA54D8"/>
    <w:rsid w:val="41E217AB"/>
    <w:rsid w:val="422B7AE1"/>
    <w:rsid w:val="42A17DA3"/>
    <w:rsid w:val="42D27F5D"/>
    <w:rsid w:val="42E83C24"/>
    <w:rsid w:val="42F71332"/>
    <w:rsid w:val="4309522B"/>
    <w:rsid w:val="431B4E6A"/>
    <w:rsid w:val="43741014"/>
    <w:rsid w:val="43835F5C"/>
    <w:rsid w:val="43C57AC2"/>
    <w:rsid w:val="43CF6B92"/>
    <w:rsid w:val="44007AD7"/>
    <w:rsid w:val="44BA339E"/>
    <w:rsid w:val="44ED3F1C"/>
    <w:rsid w:val="45131232"/>
    <w:rsid w:val="454667B6"/>
    <w:rsid w:val="456D788A"/>
    <w:rsid w:val="45961716"/>
    <w:rsid w:val="45CA5863"/>
    <w:rsid w:val="462705C0"/>
    <w:rsid w:val="46405B25"/>
    <w:rsid w:val="46517AE3"/>
    <w:rsid w:val="466C06C8"/>
    <w:rsid w:val="46A27E61"/>
    <w:rsid w:val="46E2098A"/>
    <w:rsid w:val="477F61D9"/>
    <w:rsid w:val="47AA594C"/>
    <w:rsid w:val="47D93B3C"/>
    <w:rsid w:val="47E23F21"/>
    <w:rsid w:val="48343468"/>
    <w:rsid w:val="48A979B2"/>
    <w:rsid w:val="48B06F92"/>
    <w:rsid w:val="497C50C6"/>
    <w:rsid w:val="49FF5A15"/>
    <w:rsid w:val="4A4F27DB"/>
    <w:rsid w:val="4A58168F"/>
    <w:rsid w:val="4A7810B9"/>
    <w:rsid w:val="4A8F4985"/>
    <w:rsid w:val="4A934E3E"/>
    <w:rsid w:val="4B35377F"/>
    <w:rsid w:val="4B38326F"/>
    <w:rsid w:val="4B86447A"/>
    <w:rsid w:val="4BBF74EC"/>
    <w:rsid w:val="4BF74ED8"/>
    <w:rsid w:val="4CBD1D79"/>
    <w:rsid w:val="4D0E24D9"/>
    <w:rsid w:val="4D7C3876"/>
    <w:rsid w:val="4DB03590"/>
    <w:rsid w:val="4DE44FE8"/>
    <w:rsid w:val="4E1D5B7A"/>
    <w:rsid w:val="4E217FEA"/>
    <w:rsid w:val="4E515B58"/>
    <w:rsid w:val="4E5A52AA"/>
    <w:rsid w:val="4E8C5B16"/>
    <w:rsid w:val="4ED02686"/>
    <w:rsid w:val="4F196F13"/>
    <w:rsid w:val="4F2D310F"/>
    <w:rsid w:val="4F334479"/>
    <w:rsid w:val="4F3F40FA"/>
    <w:rsid w:val="4F6A0D1A"/>
    <w:rsid w:val="4F995545"/>
    <w:rsid w:val="4FEB08B0"/>
    <w:rsid w:val="50242014"/>
    <w:rsid w:val="503F1898"/>
    <w:rsid w:val="50447FC0"/>
    <w:rsid w:val="50485F71"/>
    <w:rsid w:val="504A1A7A"/>
    <w:rsid w:val="504D50C7"/>
    <w:rsid w:val="50890FCE"/>
    <w:rsid w:val="509727E6"/>
    <w:rsid w:val="50A70C7B"/>
    <w:rsid w:val="50BE5FC4"/>
    <w:rsid w:val="50D37CC2"/>
    <w:rsid w:val="50D52B97"/>
    <w:rsid w:val="50E7376D"/>
    <w:rsid w:val="513444D8"/>
    <w:rsid w:val="5166169E"/>
    <w:rsid w:val="51750D79"/>
    <w:rsid w:val="51FF6894"/>
    <w:rsid w:val="527A5F1B"/>
    <w:rsid w:val="52B17671"/>
    <w:rsid w:val="53775A75"/>
    <w:rsid w:val="539B083F"/>
    <w:rsid w:val="54DE6B11"/>
    <w:rsid w:val="55085C12"/>
    <w:rsid w:val="55110100"/>
    <w:rsid w:val="554967A4"/>
    <w:rsid w:val="55A35789"/>
    <w:rsid w:val="55C01AA6"/>
    <w:rsid w:val="55EB785C"/>
    <w:rsid w:val="563D3E2F"/>
    <w:rsid w:val="56586B46"/>
    <w:rsid w:val="566328EC"/>
    <w:rsid w:val="56764C4B"/>
    <w:rsid w:val="574D2BF4"/>
    <w:rsid w:val="57A27CE8"/>
    <w:rsid w:val="58386E8E"/>
    <w:rsid w:val="587716F7"/>
    <w:rsid w:val="58883419"/>
    <w:rsid w:val="589E4491"/>
    <w:rsid w:val="58F72073"/>
    <w:rsid w:val="59036C6A"/>
    <w:rsid w:val="590B5B1F"/>
    <w:rsid w:val="59AF294E"/>
    <w:rsid w:val="5A272E2C"/>
    <w:rsid w:val="5A350152"/>
    <w:rsid w:val="5ADE798F"/>
    <w:rsid w:val="5B661732"/>
    <w:rsid w:val="5BC25416"/>
    <w:rsid w:val="5BC30933"/>
    <w:rsid w:val="5C3E620B"/>
    <w:rsid w:val="5C910A31"/>
    <w:rsid w:val="5C9F6CAA"/>
    <w:rsid w:val="5D0134C1"/>
    <w:rsid w:val="5D2562F9"/>
    <w:rsid w:val="5DF11787"/>
    <w:rsid w:val="5E007C1C"/>
    <w:rsid w:val="5E0F60B1"/>
    <w:rsid w:val="5E527E8C"/>
    <w:rsid w:val="5E5B4E53"/>
    <w:rsid w:val="5E8E6FD6"/>
    <w:rsid w:val="5EEE216B"/>
    <w:rsid w:val="5F061262"/>
    <w:rsid w:val="5F1D2E7B"/>
    <w:rsid w:val="5F2C67EF"/>
    <w:rsid w:val="5FB567E4"/>
    <w:rsid w:val="5FC66C44"/>
    <w:rsid w:val="60172FFB"/>
    <w:rsid w:val="610A59A6"/>
    <w:rsid w:val="611F03B9"/>
    <w:rsid w:val="61860438"/>
    <w:rsid w:val="61B80F7A"/>
    <w:rsid w:val="61D059BD"/>
    <w:rsid w:val="61E214E9"/>
    <w:rsid w:val="620F60CA"/>
    <w:rsid w:val="62586279"/>
    <w:rsid w:val="626D15F8"/>
    <w:rsid w:val="62854B94"/>
    <w:rsid w:val="62A50D92"/>
    <w:rsid w:val="634F611A"/>
    <w:rsid w:val="63C427FD"/>
    <w:rsid w:val="63DA2CBD"/>
    <w:rsid w:val="644F0FB6"/>
    <w:rsid w:val="64610CE9"/>
    <w:rsid w:val="64BA51BE"/>
    <w:rsid w:val="64CA4AE0"/>
    <w:rsid w:val="64F13154"/>
    <w:rsid w:val="65075D34"/>
    <w:rsid w:val="650C50F9"/>
    <w:rsid w:val="65257F68"/>
    <w:rsid w:val="6531219C"/>
    <w:rsid w:val="65403F01"/>
    <w:rsid w:val="65595543"/>
    <w:rsid w:val="658D448B"/>
    <w:rsid w:val="65C15EE3"/>
    <w:rsid w:val="65CE23AE"/>
    <w:rsid w:val="66080F1E"/>
    <w:rsid w:val="66116BAD"/>
    <w:rsid w:val="66214BD4"/>
    <w:rsid w:val="6659436D"/>
    <w:rsid w:val="66DB2FD4"/>
    <w:rsid w:val="66ED2D08"/>
    <w:rsid w:val="66F26570"/>
    <w:rsid w:val="66FB5425"/>
    <w:rsid w:val="670F7122"/>
    <w:rsid w:val="67472418"/>
    <w:rsid w:val="67843D3C"/>
    <w:rsid w:val="67BC2E06"/>
    <w:rsid w:val="67C43A69"/>
    <w:rsid w:val="67D34322"/>
    <w:rsid w:val="68010AE0"/>
    <w:rsid w:val="686A2E17"/>
    <w:rsid w:val="689735C0"/>
    <w:rsid w:val="694C5701"/>
    <w:rsid w:val="69561038"/>
    <w:rsid w:val="69576763"/>
    <w:rsid w:val="69671655"/>
    <w:rsid w:val="697A410B"/>
    <w:rsid w:val="69A13E27"/>
    <w:rsid w:val="69AD2C9D"/>
    <w:rsid w:val="69FB28AF"/>
    <w:rsid w:val="6A2625BF"/>
    <w:rsid w:val="6A6634FD"/>
    <w:rsid w:val="6AE126C6"/>
    <w:rsid w:val="6AF1726A"/>
    <w:rsid w:val="6B0A032C"/>
    <w:rsid w:val="6B376C47"/>
    <w:rsid w:val="6B39476E"/>
    <w:rsid w:val="6C236E29"/>
    <w:rsid w:val="6C7D068A"/>
    <w:rsid w:val="6C8666CB"/>
    <w:rsid w:val="6CE7260C"/>
    <w:rsid w:val="6D317DF2"/>
    <w:rsid w:val="6D613EE1"/>
    <w:rsid w:val="6E056B89"/>
    <w:rsid w:val="6E283171"/>
    <w:rsid w:val="6E7A30D3"/>
    <w:rsid w:val="6F0244CC"/>
    <w:rsid w:val="6F215C44"/>
    <w:rsid w:val="6F435BBB"/>
    <w:rsid w:val="6F806E0F"/>
    <w:rsid w:val="6FF2313D"/>
    <w:rsid w:val="70877D29"/>
    <w:rsid w:val="709661BE"/>
    <w:rsid w:val="70BD374B"/>
    <w:rsid w:val="71662034"/>
    <w:rsid w:val="717C2845"/>
    <w:rsid w:val="71CD3E62"/>
    <w:rsid w:val="724203AC"/>
    <w:rsid w:val="72600832"/>
    <w:rsid w:val="728E7110"/>
    <w:rsid w:val="72D51220"/>
    <w:rsid w:val="72E90827"/>
    <w:rsid w:val="72F316A6"/>
    <w:rsid w:val="731E1289"/>
    <w:rsid w:val="733128BB"/>
    <w:rsid w:val="73ED2599"/>
    <w:rsid w:val="74204A4D"/>
    <w:rsid w:val="7431692A"/>
    <w:rsid w:val="744D3038"/>
    <w:rsid w:val="74732A9E"/>
    <w:rsid w:val="747A5B1A"/>
    <w:rsid w:val="74887696"/>
    <w:rsid w:val="754C32EF"/>
    <w:rsid w:val="75706FDE"/>
    <w:rsid w:val="758F4FC4"/>
    <w:rsid w:val="75D94C4A"/>
    <w:rsid w:val="760861AC"/>
    <w:rsid w:val="761738FD"/>
    <w:rsid w:val="76C770D1"/>
    <w:rsid w:val="76EF5CAD"/>
    <w:rsid w:val="772960B5"/>
    <w:rsid w:val="77D25D2E"/>
    <w:rsid w:val="78402C6D"/>
    <w:rsid w:val="785A1CD5"/>
    <w:rsid w:val="7860158C"/>
    <w:rsid w:val="78964FAD"/>
    <w:rsid w:val="78E026CC"/>
    <w:rsid w:val="796933E0"/>
    <w:rsid w:val="79A25BD4"/>
    <w:rsid w:val="79E955B1"/>
    <w:rsid w:val="7A13262E"/>
    <w:rsid w:val="7A24440C"/>
    <w:rsid w:val="7AA00365"/>
    <w:rsid w:val="7ACB78B2"/>
    <w:rsid w:val="7B424F78"/>
    <w:rsid w:val="7B5A135B"/>
    <w:rsid w:val="7B7406C4"/>
    <w:rsid w:val="7B7A5656"/>
    <w:rsid w:val="7BC57958"/>
    <w:rsid w:val="7BD8192A"/>
    <w:rsid w:val="7C044924"/>
    <w:rsid w:val="7C1C34E2"/>
    <w:rsid w:val="7C51472B"/>
    <w:rsid w:val="7C6559F4"/>
    <w:rsid w:val="7CA852AF"/>
    <w:rsid w:val="7CAB4D9F"/>
    <w:rsid w:val="7CCC3693"/>
    <w:rsid w:val="7CD223CC"/>
    <w:rsid w:val="7CDB7267"/>
    <w:rsid w:val="7CFC4B9D"/>
    <w:rsid w:val="7D2C4132"/>
    <w:rsid w:val="7DA0242A"/>
    <w:rsid w:val="7DA168CE"/>
    <w:rsid w:val="7DF74740"/>
    <w:rsid w:val="7DFF53A3"/>
    <w:rsid w:val="7ECD54A1"/>
    <w:rsid w:val="7F4A08A0"/>
    <w:rsid w:val="7F4F5EB6"/>
    <w:rsid w:val="7F582C7C"/>
    <w:rsid w:val="7F587460"/>
    <w:rsid w:val="7F9651F2"/>
    <w:rsid w:val="7F9F508F"/>
    <w:rsid w:val="7FA335D0"/>
    <w:rsid w:val="7FAE7080"/>
    <w:rsid w:val="BF44DA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Body Text Indent"/>
    <w:basedOn w:val="1"/>
    <w:qFormat/>
    <w:uiPriority w:val="0"/>
    <w:pPr>
      <w:spacing w:before="120" w:after="120"/>
      <w:ind w:firstLine="480"/>
    </w:pPr>
    <w:rPr>
      <w:rFonts w:ascii="宋体" w:hAnsi="宋体"/>
      <w:sz w:val="24"/>
      <w:szCs w:val="2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w:basedOn w:val="3"/>
    <w:next w:val="7"/>
    <w:qFormat/>
    <w:uiPriority w:val="0"/>
    <w:pPr>
      <w:widowControl w:val="0"/>
      <w:spacing w:before="260" w:after="120" w:line="415" w:lineRule="auto"/>
      <w:ind w:firstLine="420" w:firstLineChars="100"/>
      <w:jc w:val="both"/>
    </w:pPr>
    <w:rPr>
      <w:rFonts w:ascii="Times New Roman" w:hAnsi="Times New Roman" w:eastAsia="仿宋" w:cs="Times New Roman"/>
      <w:kern w:val="2"/>
      <w:sz w:val="32"/>
      <w:szCs w:val="24"/>
      <w:lang w:val="en-US" w:eastAsia="zh-CN" w:bidi="ar-SA"/>
    </w:rPr>
  </w:style>
  <w:style w:type="paragraph" w:styleId="7">
    <w:name w:val="Body Text First Indent 2"/>
    <w:basedOn w:val="4"/>
    <w:next w:val="6"/>
    <w:qFormat/>
    <w:uiPriority w:val="0"/>
    <w:pPr>
      <w:widowControl w:val="0"/>
      <w:ind w:left="0" w:leftChars="0" w:firstLine="420" w:firstLineChars="200"/>
      <w:jc w:val="both"/>
    </w:pPr>
    <w:rPr>
      <w:rFonts w:ascii="Calibri" w:hAnsi="Calibri" w:eastAsia="仿宋" w:cs="Times New Roman"/>
      <w:kern w:val="2"/>
      <w:sz w:val="32"/>
      <w:szCs w:val="24"/>
      <w:lang w:val="en-US" w:eastAsia="zh-CN" w:bidi="ar-SA"/>
    </w:rPr>
  </w:style>
  <w:style w:type="character" w:styleId="10">
    <w:name w:val="Strong"/>
    <w:basedOn w:val="9"/>
    <w:qFormat/>
    <w:uiPriority w:val="0"/>
    <w:rPr>
      <w:b/>
    </w:rPr>
  </w:style>
  <w:style w:type="paragraph" w:customStyle="1" w:styleId="11">
    <w:name w:val="正文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12">
    <w:name w:val="正文文本 New"/>
    <w:basedOn w:val="13"/>
    <w:qFormat/>
    <w:uiPriority w:val="0"/>
    <w:rPr>
      <w:rFonts w:ascii="Calibri" w:hAnsi="Calibri" w:cs="Calibri"/>
      <w:b/>
      <w:i/>
      <w:iCs/>
      <w:color w:val="000000"/>
      <w:sz w:val="18"/>
      <w:szCs w:val="22"/>
    </w:rPr>
  </w:style>
  <w:style w:type="paragraph" w:customStyle="1" w:styleId="13">
    <w:name w:val="正文 New"/>
    <w:next w:val="1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1540</Words>
  <Characters>1652</Characters>
  <Lines>0</Lines>
  <Paragraphs>0</Paragraphs>
  <TotalTime>0</TotalTime>
  <ScaleCrop>false</ScaleCrop>
  <LinksUpToDate>false</LinksUpToDate>
  <CharactersWithSpaces>1666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2021-11-11T10:43:00Z</dcterms:created>
  <dc:creator>PC-admin</dc:creator>
  <cp:lastModifiedBy>木鱼</cp:lastModifiedBy>
  <cp:lastPrinted>2022-06-28T04:15:00Z</cp:lastPrinted>
  <dcterms:modified xsi:type="dcterms:W3CDTF">2022-10-26T09:34:30Z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B8AE24B3B2BB4020ADADE6C5FC640CCC</vt:lpwstr>
  </property>
</Properties>
</file>