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仿宋_GB2312"/>
          <w:lang w:val="en-US" w:eastAsia="zh-CN"/>
        </w:rPr>
      </w:pPr>
      <w:r>
        <w:rPr>
          <w:rFonts w:hint="eastAsia" w:ascii="宋体" w:hAnsi="宋体"/>
        </w:rPr>
        <w:t>附件</w:t>
      </w:r>
      <w:r>
        <w:rPr>
          <w:rFonts w:hint="eastAsia" w:ascii="宋体" w:hAnsi="宋体"/>
          <w:lang w:val="en-US" w:eastAsia="zh-CN"/>
        </w:rPr>
        <w:t>3</w:t>
      </w:r>
    </w:p>
    <w:p>
      <w:pPr>
        <w:jc w:val="center"/>
        <w:rPr>
          <w:rFonts w:hint="eastAsia" w:ascii="Calibri" w:eastAsia="宋体"/>
          <w:sz w:val="21"/>
          <w:szCs w:val="21"/>
        </w:rPr>
      </w:pPr>
      <w:r>
        <w:rPr>
          <w:rFonts w:hint="eastAsia" w:ascii="方正小标宋简体" w:eastAsia="方正小标宋简体"/>
          <w:color w:val="000000"/>
          <w:sz w:val="36"/>
          <w:szCs w:val="36"/>
        </w:rPr>
        <w:t>2023年省级财政专项资金目录清单</w:t>
      </w:r>
      <w:r>
        <w:t xml:space="preserve"> </w:t>
      </w:r>
    </w:p>
    <w:p>
      <w:pPr>
        <w:jc w:val="left"/>
      </w:pPr>
      <w:r>
        <w:rPr>
          <w:rFonts w:hint="eastAsia" w:ascii="宋体" w:hAnsi="宋体"/>
        </w:rPr>
        <w:t>主管部门：</w:t>
      </w:r>
      <w:r>
        <w:rPr>
          <w:rFonts w:hint="eastAsia" w:ascii="宋体" w:hAnsi="宋体"/>
          <w:lang w:eastAsia="zh-CN"/>
        </w:rPr>
        <w:t>河源市</w:t>
      </w:r>
      <w:r>
        <w:rPr>
          <w:rFonts w:hint="eastAsia" w:ascii="宋体" w:hAnsi="宋体"/>
        </w:rPr>
        <w:t>市场监督管理局</w:t>
      </w:r>
      <w:r>
        <w:rPr>
          <w:rFonts w:hint="eastAsia"/>
        </w:rPr>
        <w:t xml:space="preserve">                                                </w:t>
      </w:r>
      <w:r>
        <w:rPr>
          <w:rFonts w:hint="eastAsia" w:ascii="宋体" w:hAnsi="宋体"/>
        </w:rPr>
        <w:t>单位：万元</w:t>
      </w:r>
      <w:r>
        <w:rPr>
          <w:rFonts w:hint="eastAsia"/>
        </w:rPr>
        <w:t xml:space="preserve"> </w:t>
      </w:r>
    </w:p>
    <w:tbl>
      <w:tblPr>
        <w:tblStyle w:val="2"/>
        <w:tblW w:w="13988" w:type="dxa"/>
        <w:tblInd w:w="93" w:type="dxa"/>
        <w:tblLayout w:type="fixed"/>
        <w:tblCellMar>
          <w:top w:w="0" w:type="dxa"/>
          <w:left w:w="0" w:type="dxa"/>
          <w:bottom w:w="0" w:type="dxa"/>
          <w:right w:w="0" w:type="dxa"/>
        </w:tblCellMar>
      </w:tblPr>
      <w:tblGrid>
        <w:gridCol w:w="1251"/>
        <w:gridCol w:w="586"/>
        <w:gridCol w:w="739"/>
        <w:gridCol w:w="3852"/>
        <w:gridCol w:w="3893"/>
        <w:gridCol w:w="910"/>
        <w:gridCol w:w="765"/>
        <w:gridCol w:w="699"/>
        <w:gridCol w:w="683"/>
        <w:gridCol w:w="610"/>
      </w:tblGrid>
      <w:tr>
        <w:tblPrEx>
          <w:tblCellMar>
            <w:top w:w="0" w:type="dxa"/>
            <w:left w:w="0" w:type="dxa"/>
            <w:bottom w:w="0" w:type="dxa"/>
            <w:right w:w="0" w:type="dxa"/>
          </w:tblCellMar>
        </w:tblPrEx>
        <w:trPr>
          <w:trHeight w:val="342" w:hRule="atLeast"/>
          <w:tblHeader/>
        </w:trPr>
        <w:tc>
          <w:tcPr>
            <w:tcW w:w="125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eastAsia="宋体"/>
                <w:b/>
                <w:bCs/>
                <w:color w:val="000000"/>
                <w:sz w:val="21"/>
                <w:szCs w:val="21"/>
              </w:rPr>
            </w:pPr>
            <w:r>
              <w:rPr>
                <w:rFonts w:hint="eastAsia" w:ascii="宋体" w:hAnsi="宋体"/>
                <w:b/>
                <w:bCs/>
                <w:color w:val="000000"/>
                <w:kern w:val="0"/>
                <w:sz w:val="21"/>
                <w:szCs w:val="21"/>
              </w:rPr>
              <w:t>专项资金名称</w:t>
            </w:r>
          </w:p>
        </w:tc>
        <w:tc>
          <w:tcPr>
            <w:tcW w:w="586" w:type="dxa"/>
            <w:vMerge w:val="restar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eastAsia="宋体"/>
                <w:b/>
                <w:bCs/>
                <w:color w:val="000000"/>
                <w:sz w:val="21"/>
                <w:szCs w:val="21"/>
              </w:rPr>
            </w:pPr>
            <w:r>
              <w:rPr>
                <w:rFonts w:hint="eastAsia" w:ascii="宋体" w:hAnsi="宋体"/>
                <w:b/>
                <w:bCs/>
                <w:color w:val="000000"/>
                <w:kern w:val="0"/>
                <w:sz w:val="21"/>
                <w:szCs w:val="21"/>
              </w:rPr>
              <w:t>财政事权</w:t>
            </w:r>
          </w:p>
        </w:tc>
        <w:tc>
          <w:tcPr>
            <w:tcW w:w="739" w:type="dxa"/>
            <w:vMerge w:val="restar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eastAsia="宋体"/>
                <w:b/>
                <w:bCs/>
                <w:color w:val="000000"/>
                <w:sz w:val="21"/>
                <w:szCs w:val="21"/>
              </w:rPr>
            </w:pPr>
            <w:r>
              <w:rPr>
                <w:rFonts w:hint="eastAsia" w:ascii="宋体" w:hAnsi="宋体"/>
                <w:b/>
                <w:bCs/>
                <w:color w:val="000000"/>
                <w:kern w:val="0"/>
                <w:sz w:val="21"/>
                <w:szCs w:val="21"/>
              </w:rPr>
              <w:t>政策任务</w:t>
            </w:r>
          </w:p>
        </w:tc>
        <w:tc>
          <w:tcPr>
            <w:tcW w:w="3852" w:type="dxa"/>
            <w:vMerge w:val="restar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eastAsia="宋体"/>
                <w:b/>
                <w:bCs/>
                <w:color w:val="000000"/>
                <w:sz w:val="21"/>
                <w:szCs w:val="21"/>
              </w:rPr>
            </w:pPr>
            <w:r>
              <w:rPr>
                <w:rFonts w:hint="eastAsia" w:ascii="宋体" w:hAnsi="宋体"/>
                <w:b/>
                <w:bCs/>
                <w:color w:val="000000"/>
                <w:kern w:val="0"/>
                <w:sz w:val="21"/>
                <w:szCs w:val="21"/>
              </w:rPr>
              <w:t>主要用途</w:t>
            </w:r>
          </w:p>
        </w:tc>
        <w:tc>
          <w:tcPr>
            <w:tcW w:w="3893" w:type="dxa"/>
            <w:vMerge w:val="restar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eastAsia="宋体"/>
                <w:b/>
                <w:bCs/>
                <w:color w:val="000000"/>
                <w:sz w:val="21"/>
                <w:szCs w:val="21"/>
              </w:rPr>
            </w:pPr>
            <w:r>
              <w:rPr>
                <w:rFonts w:hint="eastAsia" w:ascii="宋体" w:hAnsi="宋体"/>
                <w:b/>
                <w:bCs/>
                <w:color w:val="000000"/>
                <w:kern w:val="0"/>
                <w:sz w:val="21"/>
                <w:szCs w:val="21"/>
              </w:rPr>
              <w:t>绩效目标</w:t>
            </w:r>
          </w:p>
        </w:tc>
        <w:tc>
          <w:tcPr>
            <w:tcW w:w="910" w:type="dxa"/>
            <w:vMerge w:val="restar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eastAsia="宋体"/>
                <w:b/>
                <w:bCs/>
                <w:color w:val="000000"/>
                <w:sz w:val="21"/>
                <w:szCs w:val="21"/>
              </w:rPr>
            </w:pPr>
            <w:r>
              <w:rPr>
                <w:rFonts w:hint="eastAsia" w:ascii="宋体" w:hAnsi="宋体"/>
                <w:b/>
                <w:bCs/>
                <w:color w:val="000000"/>
                <w:kern w:val="0"/>
                <w:sz w:val="21"/>
                <w:szCs w:val="21"/>
              </w:rPr>
              <w:t>资金额度</w:t>
            </w:r>
          </w:p>
        </w:tc>
        <w:tc>
          <w:tcPr>
            <w:tcW w:w="2147" w:type="dxa"/>
            <w:gridSpan w:val="3"/>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eastAsia="宋体"/>
                <w:b/>
                <w:bCs/>
                <w:color w:val="000000"/>
                <w:sz w:val="21"/>
                <w:szCs w:val="21"/>
              </w:rPr>
            </w:pPr>
            <w:r>
              <w:rPr>
                <w:rFonts w:hint="eastAsia" w:ascii="宋体" w:hAnsi="宋体"/>
                <w:b/>
                <w:bCs/>
                <w:color w:val="000000"/>
                <w:kern w:val="0"/>
                <w:sz w:val="21"/>
                <w:szCs w:val="21"/>
              </w:rPr>
              <w:t>审批权限设置</w:t>
            </w:r>
          </w:p>
        </w:tc>
        <w:tc>
          <w:tcPr>
            <w:tcW w:w="610"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eastAsia="宋体"/>
                <w:b/>
                <w:bCs/>
                <w:color w:val="000000"/>
                <w:sz w:val="21"/>
                <w:szCs w:val="21"/>
              </w:rPr>
            </w:pPr>
            <w:r>
              <w:rPr>
                <w:rFonts w:hint="eastAsia" w:ascii="宋体" w:hAnsi="宋体"/>
                <w:b/>
                <w:bCs/>
                <w:color w:val="000000"/>
                <w:kern w:val="0"/>
                <w:sz w:val="21"/>
                <w:szCs w:val="21"/>
              </w:rPr>
              <w:t>备注</w:t>
            </w:r>
          </w:p>
        </w:tc>
      </w:tr>
      <w:tr>
        <w:tblPrEx>
          <w:tblCellMar>
            <w:top w:w="0" w:type="dxa"/>
            <w:left w:w="0" w:type="dxa"/>
            <w:bottom w:w="0" w:type="dxa"/>
            <w:right w:w="0" w:type="dxa"/>
          </w:tblCellMar>
        </w:tblPrEx>
        <w:trPr>
          <w:trHeight w:val="510" w:hRule="atLeast"/>
          <w:tblHeader/>
        </w:trPr>
        <w:tc>
          <w:tcPr>
            <w:tcW w:w="125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eastAsia="宋体"/>
                <w:b/>
                <w:bCs/>
                <w:color w:val="000000"/>
                <w:sz w:val="21"/>
                <w:szCs w:val="21"/>
              </w:rPr>
            </w:pPr>
            <w:r>
              <w:rPr>
                <w:rFonts w:hint="eastAsia" w:ascii="宋体" w:hAnsi="宋体"/>
                <w:b/>
                <w:bCs/>
                <w:color w:val="000000"/>
                <w:kern w:val="0"/>
                <w:sz w:val="21"/>
                <w:szCs w:val="21"/>
              </w:rPr>
              <w:t>（战略领域名称）</w:t>
            </w:r>
          </w:p>
        </w:tc>
        <w:tc>
          <w:tcPr>
            <w:tcW w:w="586"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eastAsia="宋体"/>
                <w:b/>
                <w:bCs/>
                <w:color w:val="000000"/>
                <w:sz w:val="21"/>
                <w:szCs w:val="21"/>
              </w:rPr>
            </w:pPr>
          </w:p>
        </w:tc>
        <w:tc>
          <w:tcPr>
            <w:tcW w:w="739"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eastAsia="宋体"/>
                <w:b/>
                <w:bCs/>
                <w:color w:val="000000"/>
                <w:sz w:val="21"/>
                <w:szCs w:val="21"/>
              </w:rPr>
            </w:pPr>
          </w:p>
        </w:tc>
        <w:tc>
          <w:tcPr>
            <w:tcW w:w="3852"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eastAsia="宋体"/>
                <w:b/>
                <w:bCs/>
                <w:color w:val="000000"/>
                <w:sz w:val="21"/>
                <w:szCs w:val="21"/>
              </w:rPr>
            </w:pPr>
          </w:p>
        </w:tc>
        <w:tc>
          <w:tcPr>
            <w:tcW w:w="3893"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eastAsia="宋体"/>
                <w:b/>
                <w:bCs/>
                <w:color w:val="000000"/>
                <w:sz w:val="21"/>
                <w:szCs w:val="21"/>
              </w:rPr>
            </w:pPr>
          </w:p>
        </w:tc>
        <w:tc>
          <w:tcPr>
            <w:tcW w:w="910"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eastAsia="宋体"/>
                <w:b/>
                <w:bCs/>
                <w:color w:val="000000"/>
                <w:sz w:val="21"/>
                <w:szCs w:val="21"/>
              </w:rPr>
            </w:pPr>
          </w:p>
        </w:tc>
        <w:tc>
          <w:tcPr>
            <w:tcW w:w="76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eastAsia="宋体"/>
                <w:b/>
                <w:bCs/>
                <w:color w:val="000000"/>
                <w:sz w:val="21"/>
                <w:szCs w:val="21"/>
              </w:rPr>
            </w:pPr>
            <w:r>
              <w:rPr>
                <w:rFonts w:hint="eastAsia" w:ascii="宋体" w:hAnsi="宋体"/>
                <w:b/>
                <w:bCs/>
                <w:color w:val="000000"/>
                <w:kern w:val="0"/>
                <w:sz w:val="21"/>
                <w:szCs w:val="21"/>
              </w:rPr>
              <w:t>保留</w:t>
            </w:r>
            <w:r>
              <w:rPr>
                <w:rFonts w:hint="eastAsia" w:ascii="宋体" w:hAnsi="宋体"/>
                <w:b/>
                <w:bCs/>
                <w:color w:val="000000"/>
                <w:kern w:val="0"/>
                <w:sz w:val="21"/>
                <w:szCs w:val="21"/>
                <w:lang w:eastAsia="zh-CN"/>
              </w:rPr>
              <w:t>市</w:t>
            </w:r>
            <w:r>
              <w:rPr>
                <w:rFonts w:hint="eastAsia" w:ascii="宋体" w:hAnsi="宋体"/>
                <w:b/>
                <w:bCs/>
                <w:color w:val="000000"/>
                <w:kern w:val="0"/>
                <w:sz w:val="21"/>
                <w:szCs w:val="21"/>
              </w:rPr>
              <w:t>级审批</w:t>
            </w:r>
          </w:p>
        </w:tc>
        <w:tc>
          <w:tcPr>
            <w:tcW w:w="699"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eastAsia="宋体"/>
                <w:b/>
                <w:bCs/>
                <w:color w:val="000000"/>
                <w:sz w:val="21"/>
                <w:szCs w:val="21"/>
              </w:rPr>
            </w:pPr>
            <w:r>
              <w:rPr>
                <w:rFonts w:hint="eastAsia" w:ascii="宋体" w:hAnsi="宋体"/>
                <w:b/>
                <w:bCs/>
                <w:color w:val="000000"/>
                <w:kern w:val="0"/>
                <w:sz w:val="21"/>
                <w:szCs w:val="21"/>
              </w:rPr>
              <w:t>下放用款单位</w:t>
            </w:r>
          </w:p>
        </w:tc>
        <w:tc>
          <w:tcPr>
            <w:tcW w:w="683"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仿宋_GB2312"/>
                <w:b/>
                <w:bCs/>
                <w:color w:val="000000"/>
                <w:sz w:val="21"/>
                <w:szCs w:val="21"/>
                <w:lang w:eastAsia="zh-CN"/>
              </w:rPr>
            </w:pPr>
            <w:r>
              <w:rPr>
                <w:rFonts w:hint="eastAsia" w:ascii="宋体" w:hAnsi="宋体"/>
                <w:b/>
                <w:bCs/>
                <w:color w:val="000000"/>
                <w:kern w:val="0"/>
                <w:sz w:val="21"/>
                <w:szCs w:val="21"/>
              </w:rPr>
              <w:t>下放</w:t>
            </w:r>
            <w:r>
              <w:rPr>
                <w:rFonts w:hint="eastAsia" w:ascii="宋体" w:hAnsi="宋体"/>
                <w:b/>
                <w:bCs/>
                <w:color w:val="000000"/>
                <w:kern w:val="0"/>
                <w:sz w:val="21"/>
                <w:szCs w:val="21"/>
              </w:rPr>
              <w:br w:type="textWrapping"/>
            </w:r>
            <w:r>
              <w:rPr>
                <w:rFonts w:hint="eastAsia" w:ascii="宋体" w:hAnsi="宋体"/>
                <w:b/>
                <w:bCs/>
                <w:color w:val="000000"/>
                <w:kern w:val="0"/>
                <w:sz w:val="21"/>
                <w:szCs w:val="21"/>
              </w:rPr>
              <w:t>县</w:t>
            </w:r>
            <w:r>
              <w:rPr>
                <w:rFonts w:hint="eastAsia" w:ascii="宋体" w:hAnsi="宋体"/>
                <w:b/>
                <w:bCs/>
                <w:color w:val="000000"/>
                <w:kern w:val="0"/>
                <w:sz w:val="21"/>
                <w:szCs w:val="21"/>
                <w:lang w:eastAsia="zh-CN"/>
              </w:rPr>
              <w:t>区</w:t>
            </w:r>
          </w:p>
        </w:tc>
        <w:tc>
          <w:tcPr>
            <w:tcW w:w="610"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ascii="宋体" w:hAnsi="宋体" w:eastAsia="宋体"/>
                <w:b/>
                <w:bCs/>
                <w:color w:val="000000"/>
                <w:sz w:val="21"/>
                <w:szCs w:val="21"/>
              </w:rPr>
            </w:pPr>
          </w:p>
        </w:tc>
      </w:tr>
      <w:tr>
        <w:tblPrEx>
          <w:tblCellMar>
            <w:top w:w="0" w:type="dxa"/>
            <w:left w:w="0" w:type="dxa"/>
            <w:bottom w:w="0" w:type="dxa"/>
            <w:right w:w="0" w:type="dxa"/>
          </w:tblCellMar>
        </w:tblPrEx>
        <w:trPr>
          <w:trHeight w:val="2039" w:hRule="atLeast"/>
        </w:trPr>
        <w:tc>
          <w:tcPr>
            <w:tcW w:w="125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ascii="宋体" w:hAnsi="宋体" w:eastAsia="宋体"/>
                <w:color w:val="000000"/>
                <w:sz w:val="22"/>
                <w:szCs w:val="22"/>
              </w:rPr>
            </w:pPr>
            <w:r>
              <w:rPr>
                <w:rFonts w:hint="eastAsia" w:ascii="宋体" w:hAnsi="宋体"/>
                <w:color w:val="000000"/>
                <w:kern w:val="0"/>
                <w:sz w:val="22"/>
                <w:szCs w:val="22"/>
              </w:rPr>
              <w:t>省财政药品监管补助资金</w:t>
            </w:r>
          </w:p>
        </w:tc>
        <w:tc>
          <w:tcPr>
            <w:tcW w:w="586"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ascii="宋体" w:hAnsi="宋体" w:eastAsia="宋体"/>
                <w:color w:val="000000"/>
                <w:sz w:val="22"/>
                <w:szCs w:val="22"/>
              </w:rPr>
            </w:pPr>
            <w:r>
              <w:rPr>
                <w:rFonts w:hint="eastAsia" w:ascii="宋体" w:hAnsi="宋体"/>
                <w:color w:val="000000"/>
                <w:kern w:val="0"/>
                <w:sz w:val="22"/>
                <w:szCs w:val="22"/>
                <w:lang w:eastAsia="zh-CN"/>
              </w:rPr>
              <w:t>药品</w:t>
            </w:r>
            <w:r>
              <w:rPr>
                <w:rFonts w:hint="eastAsia" w:ascii="宋体" w:hAnsi="宋体"/>
                <w:color w:val="000000"/>
                <w:kern w:val="0"/>
                <w:sz w:val="22"/>
                <w:szCs w:val="22"/>
              </w:rPr>
              <w:t>监督管理</w:t>
            </w:r>
          </w:p>
        </w:tc>
        <w:tc>
          <w:tcPr>
            <w:tcW w:w="739"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宋体" w:hAnsi="宋体" w:eastAsia="宋体"/>
                <w:color w:val="000000"/>
                <w:sz w:val="22"/>
                <w:szCs w:val="22"/>
                <w:lang w:eastAsia="zh-CN"/>
              </w:rPr>
            </w:pPr>
            <w:r>
              <w:rPr>
                <w:rFonts w:hint="eastAsia" w:ascii="宋体" w:hAnsi="宋体" w:eastAsia="宋体"/>
                <w:color w:val="000000"/>
                <w:kern w:val="0"/>
                <w:sz w:val="22"/>
                <w:szCs w:val="22"/>
                <w:lang w:eastAsia="zh-CN"/>
              </w:rPr>
              <w:t>药品监督管理</w:t>
            </w:r>
          </w:p>
        </w:tc>
        <w:tc>
          <w:tcPr>
            <w:tcW w:w="385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宋体" w:hAnsi="宋体" w:eastAsia="仿宋_GB2312"/>
                <w:color w:val="000000"/>
                <w:sz w:val="22"/>
                <w:szCs w:val="22"/>
                <w:lang w:eastAsia="zh-CN"/>
              </w:rPr>
            </w:pPr>
            <w:r>
              <w:rPr>
                <w:rFonts w:hint="eastAsia" w:ascii="宋体" w:hAnsi="宋体"/>
                <w:color w:val="000000"/>
                <w:kern w:val="0"/>
                <w:sz w:val="22"/>
                <w:szCs w:val="22"/>
              </w:rPr>
              <w:t>用于</w:t>
            </w:r>
            <w:bookmarkStart w:id="0" w:name="_GoBack"/>
            <w:bookmarkEnd w:id="0"/>
            <w:r>
              <w:rPr>
                <w:rFonts w:hint="eastAsia" w:ascii="宋体" w:hAnsi="宋体"/>
                <w:color w:val="000000"/>
                <w:kern w:val="0"/>
                <w:sz w:val="22"/>
                <w:szCs w:val="22"/>
              </w:rPr>
              <w:t>药品医疗器械化妆品抽检、</w:t>
            </w:r>
            <w:r>
              <w:rPr>
                <w:rFonts w:hint="eastAsia" w:ascii="宋体" w:hAnsi="宋体"/>
                <w:color w:val="000000"/>
                <w:kern w:val="0"/>
                <w:sz w:val="22"/>
                <w:szCs w:val="22"/>
                <w:lang w:eastAsia="zh-CN"/>
              </w:rPr>
              <w:t>药品稽查执法及综合监管、药品执法检查基本装备达标建设及地市药品检验机构</w:t>
            </w:r>
            <w:r>
              <w:rPr>
                <w:rFonts w:hint="eastAsia" w:ascii="宋体" w:hAnsi="宋体"/>
                <w:color w:val="000000"/>
                <w:kern w:val="0"/>
                <w:sz w:val="22"/>
                <w:szCs w:val="22"/>
              </w:rPr>
              <w:t>药品化妆品检验检测能力建设</w:t>
            </w:r>
            <w:r>
              <w:rPr>
                <w:rFonts w:hint="eastAsia" w:ascii="宋体" w:hAnsi="宋体"/>
                <w:color w:val="000000"/>
                <w:kern w:val="0"/>
                <w:sz w:val="22"/>
                <w:szCs w:val="22"/>
                <w:lang w:eastAsia="zh-CN"/>
              </w:rPr>
              <w:t>、</w:t>
            </w:r>
            <w:r>
              <w:rPr>
                <w:rFonts w:hint="eastAsia" w:ascii="宋体" w:hAnsi="宋体"/>
                <w:color w:val="000000"/>
                <w:kern w:val="0"/>
                <w:sz w:val="22"/>
                <w:szCs w:val="22"/>
              </w:rPr>
              <w:t>进一步加强药品监管干部培训</w:t>
            </w:r>
            <w:r>
              <w:rPr>
                <w:rFonts w:hint="eastAsia" w:ascii="宋体" w:hAnsi="宋体"/>
                <w:color w:val="000000"/>
                <w:kern w:val="0"/>
                <w:sz w:val="22"/>
                <w:szCs w:val="22"/>
                <w:lang w:eastAsia="zh-CN"/>
              </w:rPr>
              <w:t>，开展地方队伍能力建设工作。</w:t>
            </w:r>
          </w:p>
        </w:tc>
        <w:tc>
          <w:tcPr>
            <w:tcW w:w="3893"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宋体" w:hAnsi="宋体"/>
                <w:color w:val="000000"/>
                <w:kern w:val="0"/>
                <w:sz w:val="22"/>
                <w:szCs w:val="22"/>
              </w:rPr>
            </w:pPr>
            <w:r>
              <w:rPr>
                <w:rFonts w:hint="eastAsia" w:ascii="宋体" w:hAnsi="宋体"/>
                <w:color w:val="000000"/>
                <w:kern w:val="0"/>
                <w:sz w:val="22"/>
                <w:szCs w:val="22"/>
              </w:rPr>
              <w:t>1.通过开展药品质量抽验，发现、降低和消除不合格药品导致的安全风险，药品、医疗器械、化妆品抽检不合格产品查处率达100%，广东省生产的国家药品集采品种抽检覆盖率达100%。</w:t>
            </w:r>
          </w:p>
          <w:p>
            <w:pPr>
              <w:widowControl/>
              <w:jc w:val="left"/>
              <w:textAlignment w:val="center"/>
              <w:rPr>
                <w:rFonts w:hint="eastAsia" w:ascii="宋体" w:hAnsi="宋体"/>
                <w:color w:val="000000"/>
                <w:kern w:val="0"/>
                <w:sz w:val="22"/>
                <w:szCs w:val="22"/>
              </w:rPr>
            </w:pPr>
            <w:r>
              <w:rPr>
                <w:rFonts w:hint="eastAsia" w:ascii="宋体" w:hAnsi="宋体"/>
                <w:color w:val="000000"/>
                <w:kern w:val="0"/>
                <w:sz w:val="22"/>
                <w:szCs w:val="22"/>
              </w:rPr>
              <w:t>2.促进粤东西北地区地市药品检验机构保持必要检验检测仪器设备完好并适当提升自动化水平，保持常规检验能力并适度增强服务监管和产业能力，粤东西北地市药品、化妆品检验机构能力建设达到C-。</w:t>
            </w:r>
          </w:p>
          <w:p>
            <w:pPr>
              <w:widowControl/>
              <w:jc w:val="left"/>
              <w:textAlignment w:val="center"/>
              <w:rPr>
                <w:rFonts w:hint="eastAsia" w:ascii="宋体" w:hAnsi="宋体"/>
                <w:color w:val="000000"/>
                <w:kern w:val="0"/>
                <w:sz w:val="22"/>
                <w:szCs w:val="22"/>
              </w:rPr>
            </w:pPr>
            <w:r>
              <w:rPr>
                <w:rFonts w:hint="eastAsia" w:ascii="宋体" w:hAnsi="宋体"/>
                <w:color w:val="000000"/>
                <w:kern w:val="0"/>
                <w:sz w:val="22"/>
                <w:szCs w:val="22"/>
              </w:rPr>
              <w:t>3.严查一批违法违规行为、彻查一批大案要案、移送一批刑事案件，形成高压态势和震慑作用，严厉打击药品安全违法犯罪，重大案件查办率达100%。</w:t>
            </w:r>
          </w:p>
          <w:p>
            <w:pPr>
              <w:widowControl/>
              <w:jc w:val="left"/>
              <w:textAlignment w:val="center"/>
              <w:rPr>
                <w:rFonts w:hint="eastAsia" w:ascii="宋体" w:hAnsi="宋体"/>
                <w:color w:val="000000"/>
                <w:kern w:val="0"/>
                <w:sz w:val="22"/>
                <w:szCs w:val="22"/>
              </w:rPr>
            </w:pPr>
            <w:r>
              <w:rPr>
                <w:rFonts w:hint="eastAsia" w:ascii="宋体" w:hAnsi="宋体"/>
                <w:color w:val="000000"/>
                <w:kern w:val="0"/>
                <w:sz w:val="22"/>
                <w:szCs w:val="22"/>
              </w:rPr>
              <w:t>4.继续推进地市、县级监管队伍装备配备标准化，提升粤东西北地区药品执法检查装备水平。</w:t>
            </w:r>
          </w:p>
          <w:p>
            <w:pPr>
              <w:widowControl/>
              <w:jc w:val="left"/>
              <w:textAlignment w:val="center"/>
              <w:rPr>
                <w:rFonts w:hint="eastAsia" w:ascii="宋体" w:hAnsi="宋体"/>
                <w:color w:val="000000"/>
                <w:kern w:val="0"/>
                <w:sz w:val="22"/>
                <w:szCs w:val="22"/>
              </w:rPr>
            </w:pPr>
            <w:r>
              <w:rPr>
                <w:rFonts w:hint="eastAsia" w:ascii="宋体" w:hAnsi="宋体"/>
                <w:color w:val="000000"/>
                <w:kern w:val="0"/>
                <w:sz w:val="22"/>
                <w:szCs w:val="22"/>
              </w:rPr>
              <w:t>5.对标《全国药品监督管理系统执法检查基本装备配备指导标准》，按照轻重缓急，分步开展地市级、县级标准化配置，2023年河源市本级药品执法检查基本装备类装备配备率达到80%，东源县药品执法检查基本装备类装备配备率达到80%，和平县药品执法检查基本装备类装备配备率达到80%。</w:t>
            </w:r>
          </w:p>
          <w:p>
            <w:pPr>
              <w:widowControl/>
              <w:jc w:val="left"/>
              <w:textAlignment w:val="center"/>
              <w:rPr>
                <w:rFonts w:ascii="宋体" w:hAnsi="宋体" w:eastAsia="宋体"/>
                <w:color w:val="000000"/>
                <w:sz w:val="22"/>
                <w:szCs w:val="22"/>
              </w:rPr>
            </w:pPr>
            <w:r>
              <w:rPr>
                <w:rFonts w:hint="eastAsia" w:ascii="宋体" w:hAnsi="宋体"/>
                <w:color w:val="000000"/>
                <w:kern w:val="0"/>
                <w:sz w:val="22"/>
                <w:szCs w:val="22"/>
              </w:rPr>
              <w:t>6.进一步加强药品监管干部培训，不断提高药品监管队伍能力建设，药品监管在职干部参加培训比例达70%。</w:t>
            </w:r>
          </w:p>
        </w:tc>
        <w:tc>
          <w:tcPr>
            <w:tcW w:w="91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color w:val="000000"/>
                <w:sz w:val="21"/>
                <w:szCs w:val="21"/>
              </w:rPr>
            </w:pPr>
            <w:r>
              <w:rPr>
                <w:rFonts w:hint="eastAsia" w:ascii="宋体" w:hAnsi="宋体"/>
                <w:color w:val="000000"/>
                <w:kern w:val="0"/>
                <w:sz w:val="21"/>
                <w:szCs w:val="21"/>
                <w:lang w:val="en-US" w:eastAsia="zh-CN"/>
              </w:rPr>
              <w:t>448.82</w:t>
            </w:r>
            <w:r>
              <w:rPr>
                <w:rFonts w:hint="eastAsia" w:ascii="宋体" w:hAnsi="宋体"/>
                <w:color w:val="000000"/>
                <w:kern w:val="0"/>
                <w:sz w:val="21"/>
                <w:szCs w:val="21"/>
              </w:rPr>
              <w:t xml:space="preserve"> </w:t>
            </w:r>
          </w:p>
        </w:tc>
        <w:tc>
          <w:tcPr>
            <w:tcW w:w="76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仿宋_GB2312" w:hAnsi="宋体" w:eastAsia="仿宋_GB2312"/>
                <w:color w:val="000000"/>
                <w:sz w:val="21"/>
                <w:szCs w:val="21"/>
                <w:lang w:val="en-US" w:eastAsia="zh-CN"/>
              </w:rPr>
            </w:pPr>
            <w:r>
              <w:rPr>
                <w:rFonts w:hint="eastAsia" w:ascii="仿宋_GB2312" w:hAnsi="宋体"/>
                <w:color w:val="000000"/>
                <w:kern w:val="0"/>
                <w:sz w:val="21"/>
                <w:szCs w:val="21"/>
                <w:lang w:val="en-US" w:eastAsia="zh-CN"/>
              </w:rPr>
              <w:t>302.43</w:t>
            </w:r>
          </w:p>
        </w:tc>
        <w:tc>
          <w:tcPr>
            <w:tcW w:w="699"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ascii="仿宋_GB2312" w:hAnsi="宋体"/>
                <w:color w:val="000000"/>
                <w:sz w:val="21"/>
                <w:szCs w:val="21"/>
              </w:rPr>
            </w:pPr>
          </w:p>
        </w:tc>
        <w:tc>
          <w:tcPr>
            <w:tcW w:w="683"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default" w:ascii="仿宋_GB2312" w:hAnsi="宋体" w:eastAsia="仿宋_GB2312"/>
                <w:color w:val="000000"/>
                <w:sz w:val="21"/>
                <w:szCs w:val="21"/>
                <w:lang w:val="en-US" w:eastAsia="zh-CN"/>
              </w:rPr>
            </w:pPr>
            <w:r>
              <w:rPr>
                <w:rFonts w:hint="eastAsia" w:ascii="仿宋_GB2312" w:hAnsi="宋体"/>
                <w:color w:val="000000"/>
                <w:sz w:val="21"/>
                <w:szCs w:val="21"/>
                <w:lang w:val="en-US" w:eastAsia="zh-CN"/>
              </w:rPr>
              <w:t>146.39</w:t>
            </w:r>
          </w:p>
        </w:tc>
        <w:tc>
          <w:tcPr>
            <w:tcW w:w="610"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ascii="仿宋_GB2312" w:hAnsi="宋体"/>
                <w:color w:val="000000"/>
                <w:sz w:val="21"/>
                <w:szCs w:val="21"/>
              </w:rPr>
            </w:pPr>
          </w:p>
        </w:tc>
      </w:tr>
      <w:tr>
        <w:tblPrEx>
          <w:tblCellMar>
            <w:top w:w="0" w:type="dxa"/>
            <w:left w:w="0" w:type="dxa"/>
            <w:bottom w:w="0" w:type="dxa"/>
            <w:right w:w="0" w:type="dxa"/>
          </w:tblCellMar>
        </w:tblPrEx>
        <w:trPr>
          <w:trHeight w:val="2640" w:hRule="atLeast"/>
        </w:trPr>
        <w:tc>
          <w:tcPr>
            <w:tcW w:w="125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ascii="宋体" w:hAnsi="宋体" w:eastAsia="宋体"/>
                <w:color w:val="000000"/>
                <w:sz w:val="22"/>
                <w:szCs w:val="22"/>
              </w:rPr>
            </w:pPr>
            <w:r>
              <w:rPr>
                <w:rFonts w:hint="eastAsia" w:ascii="宋体" w:hAnsi="宋体"/>
                <w:color w:val="000000"/>
                <w:kern w:val="0"/>
                <w:sz w:val="22"/>
                <w:szCs w:val="22"/>
              </w:rPr>
              <w:t>促进经济高质量发展专项资金</w:t>
            </w:r>
          </w:p>
        </w:tc>
        <w:tc>
          <w:tcPr>
            <w:tcW w:w="586"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ascii="宋体" w:hAnsi="宋体" w:eastAsia="宋体"/>
                <w:color w:val="000000"/>
                <w:sz w:val="22"/>
                <w:szCs w:val="22"/>
              </w:rPr>
            </w:pPr>
            <w:r>
              <w:rPr>
                <w:rFonts w:hint="eastAsia" w:ascii="宋体" w:hAnsi="宋体"/>
                <w:color w:val="000000"/>
                <w:kern w:val="0"/>
                <w:sz w:val="22"/>
                <w:szCs w:val="22"/>
              </w:rPr>
              <w:t>市场监督管理</w:t>
            </w:r>
          </w:p>
        </w:tc>
        <w:tc>
          <w:tcPr>
            <w:tcW w:w="739"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ascii="宋体" w:hAnsi="宋体" w:eastAsia="宋体"/>
                <w:color w:val="000000"/>
                <w:sz w:val="22"/>
                <w:szCs w:val="22"/>
              </w:rPr>
            </w:pPr>
            <w:r>
              <w:rPr>
                <w:rFonts w:hint="eastAsia" w:ascii="宋体" w:hAnsi="宋体"/>
                <w:color w:val="000000"/>
                <w:kern w:val="0"/>
                <w:sz w:val="22"/>
                <w:szCs w:val="22"/>
              </w:rPr>
              <w:t>食品安全</w:t>
            </w:r>
          </w:p>
        </w:tc>
        <w:tc>
          <w:tcPr>
            <w:tcW w:w="385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ascii="宋体" w:hAnsi="宋体" w:eastAsia="宋体"/>
                <w:color w:val="000000"/>
                <w:sz w:val="22"/>
                <w:szCs w:val="22"/>
              </w:rPr>
            </w:pPr>
            <w:r>
              <w:rPr>
                <w:rFonts w:hint="eastAsia" w:ascii="宋体" w:hAnsi="宋体"/>
                <w:color w:val="000000"/>
                <w:kern w:val="0"/>
                <w:sz w:val="22"/>
                <w:szCs w:val="22"/>
              </w:rPr>
              <w:t>用于开展食品抽检及监管工作，完成年度食品安全抽检及风险监测任务，推进食用农产品快速检测，强化食品生产经营环节监管，对重点食品开展专项监管和问题整治，督促推动食品安全属地管理责任和企业食品安全主体责任落实。</w:t>
            </w:r>
          </w:p>
        </w:tc>
        <w:tc>
          <w:tcPr>
            <w:tcW w:w="3893"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宋体" w:hAnsi="宋体"/>
                <w:color w:val="000000"/>
                <w:kern w:val="0"/>
                <w:sz w:val="22"/>
                <w:szCs w:val="22"/>
              </w:rPr>
            </w:pPr>
            <w:r>
              <w:rPr>
                <w:rFonts w:hint="eastAsia" w:ascii="宋体" w:hAnsi="宋体"/>
                <w:color w:val="000000"/>
                <w:kern w:val="0"/>
                <w:sz w:val="22"/>
                <w:szCs w:val="22"/>
              </w:rPr>
              <w:t>全面落实监管责任，全面保障食品安全。</w:t>
            </w:r>
          </w:p>
          <w:p>
            <w:pPr>
              <w:widowControl/>
              <w:jc w:val="left"/>
              <w:textAlignment w:val="center"/>
              <w:rPr>
                <w:rFonts w:ascii="宋体" w:hAnsi="宋体" w:eastAsia="宋体"/>
                <w:color w:val="000000"/>
                <w:sz w:val="22"/>
                <w:szCs w:val="22"/>
              </w:rPr>
            </w:pPr>
            <w:r>
              <w:rPr>
                <w:rFonts w:hint="eastAsia" w:ascii="宋体" w:hAnsi="宋体"/>
                <w:color w:val="000000"/>
                <w:kern w:val="0"/>
                <w:sz w:val="22"/>
                <w:szCs w:val="22"/>
              </w:rPr>
              <w:t>人民群众的满足感不断增强，地方政府落实主体责任意识不断增强，食品安全风险管控水平逐步提高，不断促进辖区食品产业健康有序发展，市场环境得到进一步净化。</w:t>
            </w:r>
          </w:p>
        </w:tc>
        <w:tc>
          <w:tcPr>
            <w:tcW w:w="91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color w:val="000000"/>
                <w:sz w:val="21"/>
                <w:szCs w:val="21"/>
              </w:rPr>
            </w:pPr>
            <w:r>
              <w:rPr>
                <w:rFonts w:hint="eastAsia" w:ascii="宋体" w:hAnsi="宋体"/>
                <w:color w:val="000000"/>
                <w:kern w:val="0"/>
                <w:sz w:val="21"/>
                <w:szCs w:val="21"/>
                <w:lang w:val="en-US" w:eastAsia="zh-CN"/>
              </w:rPr>
              <w:t>553</w:t>
            </w:r>
            <w:r>
              <w:rPr>
                <w:rFonts w:hint="eastAsia" w:ascii="宋体" w:hAnsi="宋体"/>
                <w:color w:val="000000"/>
                <w:kern w:val="0"/>
                <w:sz w:val="21"/>
                <w:szCs w:val="21"/>
              </w:rPr>
              <w:t xml:space="preserve"> </w:t>
            </w:r>
          </w:p>
        </w:tc>
        <w:tc>
          <w:tcPr>
            <w:tcW w:w="76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仿宋_GB2312" w:hAnsi="宋体" w:eastAsia="仿宋_GB2312"/>
                <w:color w:val="000000"/>
                <w:sz w:val="21"/>
                <w:szCs w:val="21"/>
                <w:lang w:val="en-US" w:eastAsia="zh-CN"/>
              </w:rPr>
            </w:pPr>
            <w:r>
              <w:rPr>
                <w:rFonts w:hint="eastAsia" w:ascii="仿宋_GB2312" w:hAnsi="宋体"/>
                <w:color w:val="000000"/>
                <w:kern w:val="0"/>
                <w:sz w:val="21"/>
                <w:szCs w:val="21"/>
                <w:lang w:val="en-US" w:eastAsia="zh-CN"/>
              </w:rPr>
              <w:t>455</w:t>
            </w:r>
          </w:p>
        </w:tc>
        <w:tc>
          <w:tcPr>
            <w:tcW w:w="699"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ascii="仿宋_GB2312" w:hAnsi="宋体"/>
                <w:color w:val="000000"/>
                <w:sz w:val="21"/>
                <w:szCs w:val="21"/>
              </w:rPr>
            </w:pPr>
          </w:p>
        </w:tc>
        <w:tc>
          <w:tcPr>
            <w:tcW w:w="683"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仿宋_GB2312" w:hAnsi="宋体" w:eastAsia="仿宋_GB2312"/>
                <w:color w:val="000000"/>
                <w:sz w:val="21"/>
                <w:szCs w:val="21"/>
                <w:lang w:val="en-US" w:eastAsia="zh-CN"/>
              </w:rPr>
            </w:pPr>
            <w:r>
              <w:rPr>
                <w:rFonts w:hint="eastAsia" w:ascii="仿宋_GB2312" w:hAnsi="宋体"/>
                <w:color w:val="000000"/>
                <w:kern w:val="0"/>
                <w:sz w:val="21"/>
                <w:szCs w:val="21"/>
                <w:lang w:val="en-US" w:eastAsia="zh-CN"/>
              </w:rPr>
              <w:t>98</w:t>
            </w:r>
          </w:p>
        </w:tc>
        <w:tc>
          <w:tcPr>
            <w:tcW w:w="610"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ascii="仿宋_GB2312" w:hAnsi="宋体"/>
                <w:color w:val="000000"/>
                <w:sz w:val="21"/>
                <w:szCs w:val="21"/>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B73F1F"/>
    <w:rsid w:val="0D1562B7"/>
    <w:rsid w:val="34B73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河源市质监局</Company>
  <Pages>1</Pages>
  <Words>0</Words>
  <Characters>0</Characters>
  <Lines>0</Lines>
  <Paragraphs>0</Paragraphs>
  <TotalTime>2</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2023-01-17T09:35:00Z</dcterms:created>
  <dc:creator>Administrator</dc:creator>
  <cp:lastModifiedBy>Administrator</cp:lastModifiedBy>
  <dcterms:modified xsi:type="dcterms:W3CDTF">2023-01-17T10:16:43Z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