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黑体" w:hAnsi="黑体" w:eastAsia="黑体"/>
          <w:color w:val="auto"/>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lang w:val="en-US" w:eastAsia="zh-CN"/>
        </w:rPr>
        <w:t>河源市市级</w:t>
      </w:r>
      <w:r>
        <w:rPr>
          <w:rFonts w:hint="eastAsia" w:ascii="方正小标宋简体" w:hAnsi="方正小标宋简体" w:eastAsia="方正小标宋简体" w:cs="方正小标宋简体"/>
          <w:bCs/>
          <w:color w:val="000000"/>
          <w:sz w:val="44"/>
          <w:szCs w:val="44"/>
        </w:rPr>
        <w:t>自然资源行政执法减免责清单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免处罚清单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29"/>
        <w:gridCol w:w="939"/>
        <w:gridCol w:w="5055"/>
        <w:gridCol w:w="3576"/>
        <w:gridCol w:w="1224"/>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3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729"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939" w:type="dxa"/>
            <w:vAlign w:val="center"/>
          </w:tcPr>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spacing w:line="300" w:lineRule="exact"/>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505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3576"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免处罚适用情形</w:t>
            </w:r>
          </w:p>
        </w:tc>
        <w:tc>
          <w:tcPr>
            <w:tcW w:w="122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73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免处罚后监管措施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35"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对拒不履行土地复垦义务的行为的行政处罚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440212003000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eastAsia="zh-CN"/>
              </w:rPr>
              <w:t>第四十三条、</w:t>
            </w:r>
            <w:r>
              <w:rPr>
                <w:rFonts w:hint="eastAsia" w:ascii="仿宋_GB2312" w:hAnsi="Times New Roman" w:eastAsia="仿宋_GB2312" w:cs="Times New Roman"/>
                <w:color w:val="000000"/>
                <w:sz w:val="24"/>
              </w:rPr>
              <w:t>第七十六条</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1.《土地管理法实施条例》（2021年修订）第五十六条第一款</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违法行为轻微，积极配合查处工作，及时履行土地复垦义务并通过验收，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635" w:type="dxa"/>
            <w:vAlign w:val="center"/>
          </w:tcPr>
          <w:p>
            <w:pPr>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对临时用地期满之日起一年内未完成复垦或者未恢复种植条件的行为的行政处罚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1.《土地管理法》（2019年修正）第七十六条 </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 xml:space="preserve">1.《土地管理法实施条例》（2021年修订）第二十条第三款、第五十六条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违法行为轻微，积极配合查处工作，及时</w:t>
            </w:r>
            <w:r>
              <w:rPr>
                <w:rFonts w:hint="eastAsia" w:ascii="仿宋_GB2312" w:hAnsi="Times New Roman" w:eastAsia="仿宋_GB2312" w:cs="Times New Roman"/>
                <w:color w:val="000000"/>
                <w:sz w:val="24"/>
              </w:rPr>
              <w:t>完成复垦或者恢复种植条件</w:t>
            </w:r>
            <w:r>
              <w:rPr>
                <w:rFonts w:hint="eastAsia" w:ascii="仿宋_GB2312" w:hAnsi="Times New Roman" w:eastAsia="仿宋_GB2312" w:cs="Times New Roman"/>
                <w:color w:val="000000"/>
                <w:sz w:val="24"/>
                <w:lang w:eastAsia="zh-CN"/>
              </w:rPr>
              <w:t>并通过验收</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接受土地调查的单位和个人无正当理由不履行现场指界义务</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440212021000</w:t>
            </w:r>
          </w:p>
        </w:tc>
        <w:tc>
          <w:tcPr>
            <w:tcW w:w="505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1.《土地调查条例》（2018年修订）第十七条</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第三十二条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1.《土地调查条例实施办法》（2019年修正）第二十九条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改正，积极履行现场指界义务，没有造成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未按照规定补充编制土地复垦方案</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1.《土地复垦条例》（2011年）第十三条</w:t>
            </w:r>
            <w:r>
              <w:rPr>
                <w:rFonts w:hint="eastAsia" w:ascii="仿宋_GB2312" w:hAnsi="Times New Roman" w:eastAsia="仿宋_GB2312" w:cs="Times New Roman"/>
                <w:color w:val="000000"/>
                <w:sz w:val="24"/>
                <w:lang w:val="en-US" w:eastAsia="zh-CN"/>
              </w:rPr>
              <w:t>第三款</w:t>
            </w:r>
            <w:r>
              <w:rPr>
                <w:rFonts w:hint="eastAsia" w:ascii="仿宋_GB2312" w:hAnsi="Times New Roman" w:eastAsia="仿宋_GB2312" w:cs="Times New Roman"/>
                <w:color w:val="000000"/>
                <w:sz w:val="24"/>
              </w:rPr>
              <w:t>、第三十七条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改正，按照规定补充编制土地复垦方案，没有造成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土地复垦义务人未按照规定将土地复垦费用列入生产成本或者建设项目总投资</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1.《土地复垦条例》（2011年）第十五条、第三十八条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改正，按照规定将土地复垦费用列入生产成本或者建设项目总投资，没有造成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土地复垦义务人未按照规定预存土地复垦费用</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44021201E000</w:t>
            </w:r>
          </w:p>
          <w:p>
            <w:pPr>
              <w:jc w:val="center"/>
              <w:rPr>
                <w:rFonts w:hint="eastAsia" w:ascii="仿宋_GB2312" w:hAnsi="Times New Roman" w:eastAsia="仿宋_GB2312" w:cs="Times New Roman"/>
                <w:color w:val="000000"/>
                <w:sz w:val="24"/>
                <w:lang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1.《土地复垦条例》（2011年）第三十八条</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US" w:eastAsia="zh-CN"/>
              </w:rPr>
              <w:t>地方性法规</w:t>
            </w:r>
            <w:r>
              <w:rPr>
                <w:rFonts w:hint="eastAsia" w:ascii="仿宋_GB2312" w:hAnsi="Times New Roman" w:eastAsia="仿宋_GB2312" w:cs="Times New Roman"/>
                <w:color w:val="000000"/>
                <w:sz w:val="24"/>
                <w:lang w:eastAsia="zh-CN"/>
              </w:rPr>
              <w:t>】</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1.《广东省土地管理条例》（2022年）第二十一条、第五十三条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w:t>
            </w:r>
            <w:r>
              <w:rPr>
                <w:rFonts w:hint="eastAsia" w:ascii="仿宋_GB2312" w:hAnsi="Times New Roman" w:eastAsia="仿宋_GB2312" w:cs="Times New Roman"/>
                <w:color w:val="000000"/>
                <w:sz w:val="24"/>
                <w:lang w:eastAsia="zh-CN"/>
              </w:rPr>
              <w:t>第十六条、第十七条、第十八条、第十九条、</w:t>
            </w:r>
            <w:r>
              <w:rPr>
                <w:rFonts w:hint="eastAsia" w:ascii="仿宋_GB2312" w:hAnsi="Times New Roman" w:eastAsia="仿宋_GB2312" w:cs="Times New Roman"/>
                <w:color w:val="000000"/>
                <w:sz w:val="24"/>
              </w:rPr>
              <w:t xml:space="preserve">第五十一条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改正，按照规定预存土地复垦费用，没有造成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土地复垦义务人未按照规定报告土地损毁情况、土地复垦费用使用情况或者土地复垦工程实施情况</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1.《土地复垦条例》（2011年）第十七条第一款、第四十一条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改正，按照规定报告土地损毁情况、土地复垦费用使用情况或者土地复垦工程实施情况，没有造成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8</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土地复垦义务人未按照规定开展土地复垦质量控制和采取管护措施</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44021200M000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1.《土地复垦条例实施办法》（2019年修正）第二十五条、第五十二条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改正，按照规定开展土地复垦质量控制和采取管护措施，没有造成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土地复垦义务人依照规定应当缴纳土地复垦费而不缴纳</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440212019000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1.《土地复垦条例》（2011年）第十八条第一款、第四十二条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缴</w:t>
            </w:r>
            <w:r>
              <w:rPr>
                <w:rFonts w:hint="eastAsia" w:ascii="仿宋_GB2312" w:hAnsi="Times New Roman" w:eastAsia="仿宋_GB2312" w:cs="Times New Roman"/>
                <w:color w:val="000000"/>
                <w:sz w:val="24"/>
                <w:lang w:val="en-US" w:eastAsia="zh-CN"/>
              </w:rPr>
              <w:t>纳</w:t>
            </w:r>
            <w:r>
              <w:rPr>
                <w:rFonts w:hint="eastAsia" w:ascii="仿宋_GB2312" w:hAnsi="Times New Roman" w:eastAsia="仿宋_GB2312" w:cs="Times New Roman"/>
                <w:color w:val="000000"/>
                <w:sz w:val="24"/>
                <w:lang w:eastAsia="zh-CN"/>
              </w:rPr>
              <w:t>土地复垦费</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土地复垦义务人未按照规定将土地复垦方案、土地复垦规划设计报所在地县级自然资源主管部门备案</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44021200L000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1.《土地复垦条例》（2011年）第四十一条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【部门规章】</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1.《土地复垦条例实施办法》（2019年修正）第十五条、第五十条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改正，按照规定将土地复垦方案、土地复垦规划设计进行备案，没有造成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破坏或者擅自改变基本农田保护区的保护标志</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440212022000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1.《基本农田保护条例》（2011年修订）第十一条第二款、第</w:t>
            </w:r>
            <w:r>
              <w:rPr>
                <w:rFonts w:hint="eastAsia" w:ascii="仿宋_GB2312" w:hAnsi="Times New Roman" w:eastAsia="仿宋_GB2312" w:cs="Times New Roman"/>
                <w:color w:val="000000"/>
                <w:sz w:val="24"/>
                <w:lang w:eastAsia="zh-Hans"/>
              </w:rPr>
              <w:t>三十二</w:t>
            </w:r>
            <w:r>
              <w:rPr>
                <w:rFonts w:hint="eastAsia" w:ascii="仿宋_GB2312" w:hAnsi="Times New Roman" w:eastAsia="仿宋_GB2312" w:cs="Times New Roman"/>
                <w:color w:val="000000"/>
                <w:sz w:val="24"/>
              </w:rPr>
              <w:t>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1.《广东省基本农田保护区管理条例》（2014年修正）</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第二十</w:t>
            </w:r>
            <w:r>
              <w:rPr>
                <w:rFonts w:hint="eastAsia" w:ascii="仿宋_GB2312" w:hAnsi="Times New Roman" w:eastAsia="仿宋_GB2312" w:cs="Times New Roman"/>
                <w:color w:val="000000"/>
                <w:sz w:val="24"/>
                <w:lang w:eastAsia="zh-Hans"/>
              </w:rPr>
              <w:t>三</w:t>
            </w:r>
            <w:r>
              <w:rPr>
                <w:rFonts w:hint="eastAsia" w:ascii="仿宋_GB2312" w:hAnsi="Times New Roman" w:eastAsia="仿宋_GB2312" w:cs="Times New Roman"/>
                <w:color w:val="000000"/>
                <w:sz w:val="24"/>
              </w:rPr>
              <w:t>条</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及时将</w:t>
            </w:r>
            <w:r>
              <w:rPr>
                <w:rFonts w:hint="eastAsia" w:ascii="仿宋_GB2312" w:hAnsi="Times New Roman" w:eastAsia="仿宋_GB2312" w:cs="Times New Roman"/>
                <w:color w:val="000000"/>
                <w:sz w:val="24"/>
              </w:rPr>
              <w:t>基本农田保护区的保护标志恢复原状，没有造成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2</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探矿权人未完成最低勘查投入</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rPr>
              <w:t>第二十九条第二项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改正，按照规定完成最低勘查投入，没有造成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3</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已经领取勘查许可证的勘查项目，满6个月未开始施工，或者施工后无故停止勘查工作满6个月</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440212034000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1.《矿产资源勘查区块登记管理办法》（2014年修订）</w:t>
            </w:r>
            <w:r>
              <w:rPr>
                <w:rFonts w:hint="eastAsia" w:ascii="仿宋_GB2312" w:hAnsi="Times New Roman" w:eastAsia="仿宋_GB2312" w:cs="Times New Roman"/>
                <w:color w:val="000000"/>
                <w:sz w:val="24"/>
                <w:lang w:val="en-US" w:eastAsia="zh-CN"/>
              </w:rPr>
              <w:t>第十八条、</w:t>
            </w:r>
            <w:r>
              <w:rPr>
                <w:rFonts w:hint="eastAsia" w:ascii="仿宋_GB2312" w:hAnsi="Times New Roman" w:eastAsia="仿宋_GB2312" w:cs="Times New Roman"/>
                <w:color w:val="000000"/>
                <w:sz w:val="24"/>
              </w:rPr>
              <w:t xml:space="preserve">第二十九条第三项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1.《广东省矿产资源管理条例》（2012年修正）</w:t>
            </w:r>
            <w:r>
              <w:rPr>
                <w:rFonts w:hint="eastAsia" w:ascii="仿宋_GB2312" w:hAnsi="Times New Roman" w:eastAsia="仿宋_GB2312" w:cs="Times New Roman"/>
                <w:color w:val="000000"/>
                <w:sz w:val="24"/>
                <w:lang w:val="en-US" w:eastAsia="zh-CN"/>
              </w:rPr>
              <w:t>第十四条、</w:t>
            </w:r>
            <w:r>
              <w:rPr>
                <w:rFonts w:hint="eastAsia" w:ascii="仿宋_GB2312" w:hAnsi="Times New Roman" w:eastAsia="仿宋_GB2312" w:cs="Times New Roman"/>
                <w:color w:val="000000"/>
                <w:sz w:val="24"/>
              </w:rPr>
              <w:t xml:space="preserve">第六十一条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改正，按照规定进行施工或者开展勘查工作，没有造成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4</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破坏或者擅自移动矿区范围界桩或者地面标志</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440212038000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1.《矿产资源开采登记管理办法》（2014年修订）</w:t>
            </w:r>
            <w:r>
              <w:rPr>
                <w:rFonts w:hint="eastAsia" w:ascii="仿宋_GB2312" w:hAnsi="Times New Roman" w:eastAsia="仿宋_GB2312" w:cs="Times New Roman"/>
                <w:color w:val="000000"/>
                <w:sz w:val="24"/>
                <w:lang w:val="en-US" w:eastAsia="zh-CN"/>
              </w:rPr>
              <w:t>第八条、</w:t>
            </w:r>
            <w:r>
              <w:rPr>
                <w:rFonts w:hint="eastAsia" w:ascii="仿宋_GB2312" w:hAnsi="Times New Roman" w:eastAsia="仿宋_GB2312" w:cs="Times New Roman"/>
                <w:color w:val="000000"/>
                <w:sz w:val="24"/>
              </w:rPr>
              <w:t>第十九条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及时恢复</w:t>
            </w:r>
            <w:r>
              <w:rPr>
                <w:rFonts w:hint="eastAsia" w:ascii="仿宋_GB2312" w:hAnsi="Times New Roman" w:eastAsia="仿宋_GB2312" w:cs="Times New Roman"/>
                <w:color w:val="000000"/>
                <w:sz w:val="24"/>
              </w:rPr>
              <w:t>矿区范围界桩或者地面标志，没有造成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5</w:t>
            </w:r>
          </w:p>
        </w:tc>
        <w:tc>
          <w:tcPr>
            <w:tcW w:w="1729"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rPr>
              <w:t>未按规定的期限汇交地质资料</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rPr>
              <w:t>【行政法规】</w:t>
            </w:r>
            <w:r>
              <w:rPr>
                <w:rFonts w:hint="eastAsia" w:ascii="仿宋_GB2312" w:hAnsi="Times New Roman" w:eastAsia="仿宋_GB2312" w:cs="Times New Roman"/>
                <w:color w:val="000000"/>
                <w:sz w:val="24"/>
              </w:rPr>
              <w:br w:type="textWrapping"/>
            </w:r>
            <w:r>
              <w:rPr>
                <w:rFonts w:hint="eastAsia" w:ascii="仿宋_GB2312" w:hAnsi="Times New Roman" w:eastAsia="仿宋_GB2312" w:cs="Times New Roman"/>
                <w:color w:val="000000"/>
                <w:sz w:val="24"/>
              </w:rPr>
              <w:t>1.《地质资料管理条例》（2017年修订）</w:t>
            </w:r>
            <w:r>
              <w:rPr>
                <w:rFonts w:hint="eastAsia" w:ascii="仿宋_GB2312" w:hAnsi="Times New Roman" w:eastAsia="仿宋_GB2312" w:cs="Times New Roman"/>
                <w:color w:val="000000"/>
                <w:sz w:val="24"/>
                <w:lang w:val="en-US" w:eastAsia="zh-CN"/>
              </w:rPr>
              <w:t>第十条、</w:t>
            </w:r>
            <w:r>
              <w:rPr>
                <w:rFonts w:hint="eastAsia" w:ascii="仿宋_GB2312" w:hAnsi="Times New Roman" w:eastAsia="仿宋_GB2312" w:cs="Times New Roman"/>
                <w:color w:val="000000"/>
                <w:sz w:val="24"/>
              </w:rPr>
              <w:t>第二十条</w:t>
            </w:r>
            <w:r>
              <w:rPr>
                <w:rFonts w:hint="eastAsia" w:ascii="仿宋_GB2312" w:hAnsi="Times New Roman" w:eastAsia="仿宋_GB2312" w:cs="Times New Roman"/>
                <w:color w:val="000000"/>
                <w:sz w:val="24"/>
                <w:lang w:val="e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汇交</w:t>
            </w:r>
            <w:r>
              <w:rPr>
                <w:rFonts w:hint="eastAsia" w:ascii="仿宋_GB2312" w:hAnsi="Times New Roman" w:eastAsia="仿宋_GB2312" w:cs="Times New Roman"/>
                <w:color w:val="000000"/>
                <w:sz w:val="24"/>
                <w:lang w:eastAsia="zh-CN"/>
              </w:rPr>
              <w:t>地质资料</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6</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不对矿区范围内的危岩、危坡、开裂带、沉降区和塌陷区设置警示标志</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440212045000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【地方性法规】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1.《广东省矿产资源管理条例》（2012年修正）</w:t>
            </w:r>
            <w:r>
              <w:rPr>
                <w:rFonts w:hint="eastAsia" w:ascii="仿宋_GB2312" w:hAnsi="Times New Roman" w:eastAsia="仿宋_GB2312" w:cs="Times New Roman"/>
                <w:color w:val="000000"/>
                <w:sz w:val="24"/>
                <w:lang w:val="en-US" w:eastAsia="zh-CN"/>
              </w:rPr>
              <w:t>第五十条、</w:t>
            </w:r>
            <w:r>
              <w:rPr>
                <w:rFonts w:hint="eastAsia" w:ascii="仿宋_GB2312" w:hAnsi="Times New Roman" w:eastAsia="仿宋_GB2312" w:cs="Times New Roman"/>
                <w:color w:val="000000"/>
                <w:sz w:val="24"/>
                <w:lang w:val="en"/>
              </w:rPr>
              <w:t>第六十二条第三项</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改正，按照规定设置警示标志，没有造成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7</w:t>
            </w:r>
          </w:p>
        </w:tc>
        <w:tc>
          <w:tcPr>
            <w:tcW w:w="1729" w:type="dxa"/>
            <w:vAlign w:val="center"/>
          </w:tcPr>
          <w:p>
            <w:pPr>
              <w:rPr>
                <w:rFonts w:ascii="仿宋_GB2312" w:hAnsi="Times New Roman" w:eastAsia="仿宋_GB2312" w:cs="Times New Roman"/>
                <w:color w:val="000000"/>
                <w:sz w:val="24"/>
                <w:u w:val="none"/>
                <w:lang w:val="e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地质灾害危险性评估资质单位不及时办理地质灾害危险性评估资质证书变更、注销手续</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 xml:space="preserve">1.《地质灾害危险性评估单位资质管理办法》（2019年修正）第二十二条、第二十九条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改正，按照规定办理资质证书变更、注销手续，没有造成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8</w:t>
            </w:r>
          </w:p>
        </w:tc>
        <w:tc>
          <w:tcPr>
            <w:tcW w:w="1729" w:type="dxa"/>
            <w:vAlign w:val="center"/>
          </w:tcPr>
          <w:p>
            <w:pPr>
              <w:rPr>
                <w:rFonts w:ascii="仿宋_GB2312" w:hAnsi="Times New Roman" w:eastAsia="仿宋_GB2312" w:cs="Times New Roman"/>
                <w:color w:val="000000"/>
                <w:sz w:val="24"/>
                <w:u w:val="none"/>
                <w:lang w:val="e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地质灾害危险性评估资质单位不按时进行资质和项目备案</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1.《地质灾害危险性评估单位资质管理办法》（2019年修正）第二十七条、第三十条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9</w:t>
            </w:r>
          </w:p>
        </w:tc>
        <w:tc>
          <w:tcPr>
            <w:tcW w:w="1729"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地质灾害治理工程勘查设计施工资质单位不按照规定及时办理资质证书变更、注销手续</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改正，按照规定办理</w:t>
            </w:r>
            <w:r>
              <w:rPr>
                <w:rFonts w:hint="eastAsia" w:ascii="仿宋_GB2312" w:hAnsi="Times New Roman" w:eastAsia="仿宋_GB2312" w:cs="Times New Roman"/>
                <w:color w:val="000000"/>
                <w:sz w:val="24"/>
                <w:lang w:val="en"/>
              </w:rPr>
              <w:t>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20</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地质灾害治理工程勘查设计施工资质单位不按照规定进行备案</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1.《地质灾害治理工程勘查设计施工单位资质管理办法》（2019年修正）第二十七条、第二十九条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资质和项目备案，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21</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地质灾害治理工程监理资质单位不按照规定及时办理资质证书变更、注销手续</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440212056000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1.《地质灾害治理工程监理单位资质管理办法》（2019年修正）第十八条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第十九条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w:t>
            </w:r>
            <w:r>
              <w:rPr>
                <w:rFonts w:hint="eastAsia" w:ascii="仿宋_GB2312" w:hAnsi="Times New Roman" w:eastAsia="仿宋_GB2312" w:cs="Times New Roman"/>
                <w:color w:val="000000"/>
                <w:sz w:val="24"/>
                <w:lang w:val="en" w:eastAsia="zh-Hans"/>
              </w:rPr>
              <w:t>二十</w:t>
            </w:r>
            <w:r>
              <w:rPr>
                <w:rFonts w:hint="eastAsia" w:ascii="仿宋_GB2312" w:hAnsi="Times New Roman" w:eastAsia="仿宋_GB2312" w:cs="Times New Roman"/>
                <w:color w:val="000000"/>
                <w:sz w:val="24"/>
                <w:lang w:val="en"/>
              </w:rPr>
              <w:t>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第二十六条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办理资质证书变更、注销手续，</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2</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地质灾害治理工程监理资质单位不按照规定进行备案</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440212057000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1.《地质灾害治理工程监理单位资质管理办法》（2019年修正）第二十五条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第二十七条</w:t>
            </w:r>
            <w:r>
              <w:rPr>
                <w:rFonts w:hint="eastAsia" w:ascii="仿宋_GB2312" w:hAnsi="Times New Roman" w:eastAsia="仿宋_GB2312" w:cs="Times New Roman"/>
                <w:color w:val="000000"/>
                <w:sz w:val="24"/>
              </w:rPr>
              <w:t xml:space="preserve"> </w:t>
            </w:r>
          </w:p>
        </w:tc>
        <w:tc>
          <w:tcPr>
            <w:tcW w:w="3576"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改正，按照规定进行</w:t>
            </w:r>
            <w:r>
              <w:rPr>
                <w:rFonts w:hint="eastAsia" w:ascii="仿宋_GB2312" w:hAnsi="Times New Roman" w:eastAsia="仿宋_GB2312" w:cs="Times New Roman"/>
                <w:color w:val="000000"/>
                <w:sz w:val="24"/>
                <w:lang w:val="en"/>
              </w:rPr>
              <w:t>备案，</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3</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未按规定计提矿山地质环境治理恢复基金</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44021201A000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w:t>
            </w:r>
            <w:r>
              <w:rPr>
                <w:rFonts w:hint="eastAsia" w:ascii="仿宋_GB2312" w:hAnsi="Times New Roman" w:eastAsia="仿宋_GB2312" w:cs="Times New Roman"/>
                <w:color w:val="000000"/>
                <w:sz w:val="24"/>
                <w:lang w:val="en-US" w:eastAsia="zh-CN"/>
              </w:rPr>
              <w:t>第十七条、</w:t>
            </w:r>
            <w:r>
              <w:rPr>
                <w:rFonts w:hint="eastAsia" w:ascii="仿宋_GB2312" w:hAnsi="Times New Roman" w:eastAsia="仿宋_GB2312" w:cs="Times New Roman"/>
                <w:color w:val="000000"/>
                <w:sz w:val="24"/>
                <w:lang w:val="en"/>
              </w:rPr>
              <w:t>第二十八条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计提</w:t>
            </w:r>
            <w:r>
              <w:rPr>
                <w:rFonts w:hint="eastAsia" w:ascii="仿宋_GB2312" w:hAnsi="Times New Roman" w:eastAsia="仿宋_GB2312" w:cs="Times New Roman"/>
                <w:color w:val="000000"/>
                <w:sz w:val="24"/>
                <w:lang w:val="en"/>
              </w:rPr>
              <w:t>矿山地质环境治理恢复基金</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4</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rPr>
              <w:t>探矿权人未采取治理恢复措施</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44021200K000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1.《矿山地质环境保护规定》（2019年修正）第二十一条</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val="en"/>
              </w:rPr>
              <w:t>第二十九条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改正，按照规定</w:t>
            </w:r>
            <w:r>
              <w:rPr>
                <w:rFonts w:hint="eastAsia" w:ascii="仿宋_GB2312" w:hAnsi="Times New Roman" w:eastAsia="仿宋_GB2312" w:cs="Times New Roman"/>
                <w:color w:val="000000"/>
                <w:sz w:val="24"/>
                <w:lang w:val="en"/>
              </w:rPr>
              <w:t>采取治理恢复措施，</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ascii="仿宋_GB2312" w:hAnsi="Times New Roman" w:eastAsia="仿宋_GB2312" w:cs="Times New Roman"/>
                <w:color w:val="000000"/>
                <w:sz w:val="24"/>
              </w:rPr>
            </w:pPr>
            <w:r>
              <w:rPr>
                <w:rFonts w:ascii="仿宋_GB2312" w:hAnsi="Times New Roman" w:eastAsia="仿宋_GB2312" w:cs="Times New Roman"/>
                <w:color w:val="000000"/>
                <w:sz w:val="24"/>
              </w:rPr>
              <w:t>25</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生物化石发掘单位未按照规定移交发掘的古生物化石</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440212060000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第十五条、</w:t>
            </w:r>
            <w:r>
              <w:rPr>
                <w:rFonts w:hint="eastAsia" w:ascii="仿宋_GB2312" w:hAnsi="Times New Roman" w:eastAsia="仿宋_GB2312" w:cs="Times New Roman"/>
                <w:color w:val="000000"/>
                <w:sz w:val="24"/>
                <w:lang w:val="en"/>
              </w:rPr>
              <w:t>第三十七条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1.《古生物化石保护条例实施办法》（2019年修正）第五十二条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没有造成古生物化石损毁</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6</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生物化石收藏单位不符合收藏条件收藏古生物化石</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440212061000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第二十条、</w:t>
            </w:r>
            <w:r>
              <w:rPr>
                <w:rFonts w:hint="eastAsia" w:ascii="仿宋_GB2312" w:hAnsi="Times New Roman" w:eastAsia="仿宋_GB2312" w:cs="Times New Roman"/>
                <w:color w:val="000000"/>
                <w:sz w:val="24"/>
                <w:lang w:val="en"/>
              </w:rPr>
              <w:t>第三十八条</w:t>
            </w:r>
            <w:r>
              <w:rPr>
                <w:rFonts w:hint="eastAsia" w:ascii="仿宋_GB2312" w:hAnsi="Times New Roman" w:eastAsia="仿宋_GB2312" w:cs="Times New Roman"/>
                <w:color w:val="000000"/>
                <w:sz w:val="24"/>
              </w:rPr>
              <w:t xml:space="preserve"> </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w:t>
            </w:r>
            <w:r>
              <w:rPr>
                <w:rFonts w:hint="eastAsia" w:ascii="仿宋_GB2312" w:hAnsi="Times New Roman" w:eastAsia="仿宋_GB2312" w:cs="Times New Roman"/>
                <w:color w:val="000000"/>
                <w:sz w:val="24"/>
                <w:lang w:val="en-US" w:eastAsia="zh-CN"/>
              </w:rPr>
              <w:t>第二十四条、</w:t>
            </w:r>
            <w:r>
              <w:rPr>
                <w:rFonts w:hint="eastAsia" w:ascii="仿宋_GB2312" w:hAnsi="Times New Roman" w:eastAsia="仿宋_GB2312" w:cs="Times New Roman"/>
                <w:color w:val="000000"/>
                <w:sz w:val="24"/>
                <w:lang w:val="en"/>
              </w:rPr>
              <w:t>第五十三条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7</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古生物化石收藏单位未按照规定建立本单位收藏的古生物化石档案</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440212062000</w:t>
            </w:r>
          </w:p>
        </w:tc>
        <w:tc>
          <w:tcPr>
            <w:tcW w:w="5055" w:type="dxa"/>
            <w:vAlign w:val="center"/>
          </w:tcPr>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第二十一条第二款、</w:t>
            </w:r>
            <w:r>
              <w:rPr>
                <w:rFonts w:hint="eastAsia" w:ascii="仿宋_GB2312" w:hAnsi="Times New Roman" w:eastAsia="仿宋_GB2312" w:cs="Times New Roman"/>
                <w:color w:val="000000"/>
                <w:sz w:val="24"/>
                <w:lang w:val="en"/>
              </w:rPr>
              <w:t>第三十九条</w:t>
            </w:r>
            <w:r>
              <w:rPr>
                <w:rFonts w:hint="eastAsia" w:ascii="仿宋_GB2312" w:hAnsi="Times New Roman" w:eastAsia="仿宋_GB2312" w:cs="Times New Roman"/>
                <w:color w:val="000000"/>
                <w:sz w:val="24"/>
              </w:rPr>
              <w:t xml:space="preserve"> </w:t>
            </w:r>
          </w:p>
        </w:tc>
        <w:tc>
          <w:tcPr>
            <w:tcW w:w="3576"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改正，按照</w:t>
            </w:r>
            <w:r>
              <w:rPr>
                <w:rFonts w:hint="eastAsia" w:ascii="仿宋_GB2312" w:hAnsi="Times New Roman" w:eastAsia="仿宋_GB2312" w:cs="Times New Roman"/>
                <w:color w:val="000000"/>
                <w:sz w:val="24"/>
                <w:lang w:val="en"/>
              </w:rPr>
              <w:t>规定建立古生物化石档案</w:t>
            </w:r>
            <w:r>
              <w:rPr>
                <w:rFonts w:hint="eastAsia" w:ascii="仿宋_GB2312" w:hAnsi="Times New Roman" w:eastAsia="仿宋_GB2312" w:cs="Times New Roman"/>
                <w:color w:val="000000"/>
                <w:sz w:val="24"/>
                <w:lang w:val="en" w:eastAsia="zh-CN"/>
              </w:rPr>
              <w:t>，没有造成危害后果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8</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rPr>
              <w:t>国有收藏单位将其收藏的重点保护古生物化石违法转让、交换、赠与给非国有收藏单位或者个人</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440212066000</w:t>
            </w:r>
          </w:p>
        </w:tc>
        <w:tc>
          <w:tcPr>
            <w:tcW w:w="5055"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1.《古生物化石保护条例》（2019年修订）</w:t>
            </w:r>
            <w:r>
              <w:rPr>
                <w:rFonts w:hint="eastAsia" w:ascii="仿宋_GB2312" w:hAnsi="Times New Roman" w:eastAsia="仿宋_GB2312" w:cs="Times New Roman"/>
                <w:color w:val="000000"/>
                <w:sz w:val="24"/>
                <w:lang w:val="en-US" w:eastAsia="zh-CN"/>
              </w:rPr>
              <w:t>第二十三条第一款、</w:t>
            </w:r>
            <w:r>
              <w:rPr>
                <w:rFonts w:hint="eastAsia" w:ascii="仿宋_GB2312" w:hAnsi="Times New Roman" w:eastAsia="仿宋_GB2312" w:cs="Times New Roman"/>
                <w:color w:val="000000"/>
                <w:sz w:val="24"/>
                <w:lang w:val="en"/>
              </w:rPr>
              <w:t>第四十一条</w:t>
            </w:r>
            <w:r>
              <w:rPr>
                <w:rFonts w:hint="eastAsia" w:ascii="仿宋_GB2312" w:hAnsi="Times New Roman" w:eastAsia="仿宋_GB2312" w:cs="Times New Roman"/>
                <w:color w:val="000000"/>
                <w:sz w:val="24"/>
              </w:rPr>
              <w:t xml:space="preserve"> </w:t>
            </w:r>
          </w:p>
          <w:p>
            <w:pPr>
              <w:rPr>
                <w:rFonts w:ascii="仿宋_GB2312" w:hAnsi="Times New Roman" w:eastAsia="仿宋_GB2312" w:cs="Times New Roman"/>
                <w:color w:val="000000"/>
                <w:sz w:val="24"/>
                <w:lang w:val="en"/>
              </w:rPr>
            </w:pPr>
            <w:r>
              <w:rPr>
                <w:rFonts w:hint="eastAsia" w:ascii="仿宋_GB2312" w:hAnsi="Times New Roman" w:eastAsia="仿宋_GB2312" w:cs="Times New Roman"/>
                <w:color w:val="000000"/>
                <w:sz w:val="24"/>
                <w:lang w:val="en"/>
              </w:rPr>
              <w:t>【部门规章】</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1.《古生物化石保护条例实施办法》（2019年修正）第五十五条</w:t>
            </w:r>
            <w:r>
              <w:rPr>
                <w:rFonts w:hint="eastAsia" w:ascii="仿宋_GB2312" w:hAnsi="Times New Roman" w:eastAsia="仿宋_GB2312" w:cs="Times New Roman"/>
                <w:color w:val="000000"/>
                <w:sz w:val="24"/>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w:t>
            </w:r>
            <w:r>
              <w:rPr>
                <w:rFonts w:hint="eastAsia" w:ascii="仿宋_GB2312" w:hAnsi="Times New Roman" w:eastAsia="仿宋_GB2312" w:cs="Times New Roman"/>
                <w:color w:val="000000"/>
                <w:sz w:val="24"/>
                <w:lang w:eastAsia="zh-CN"/>
              </w:rPr>
              <w:t>退还已经转让、赠与给非国有收藏单位或者个人的重点保护古生物化石，没有</w:t>
            </w:r>
            <w:r>
              <w:rPr>
                <w:rFonts w:hint="eastAsia" w:ascii="仿宋_GB2312" w:hAnsi="Times New Roman" w:eastAsia="仿宋_GB2312" w:cs="Times New Roman"/>
                <w:color w:val="000000"/>
                <w:sz w:val="24"/>
              </w:rPr>
              <w:t>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r>
              <w:rPr>
                <w:rFonts w:ascii="仿宋_GB2312" w:hAnsi="Times New Roman" w:eastAsia="仿宋_GB2312" w:cs="Times New Roman"/>
                <w:color w:val="000000"/>
                <w:sz w:val="24"/>
              </w:rPr>
              <w:t>9</w:t>
            </w:r>
          </w:p>
        </w:tc>
        <w:tc>
          <w:tcPr>
            <w:tcW w:w="1729"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lang w:val="en" w:eastAsia="zh-Hans"/>
              </w:rPr>
              <w:t>不汇交测绘成果资料的，测绘项目出资人逾期不汇交的，承担国家投资的测绘项目的单位逾期不汇交的，自暂扣测绘资质证书之日起六个月内仍不汇交</w:t>
            </w:r>
            <w:r>
              <w:rPr>
                <w:rFonts w:hint="eastAsia" w:ascii="仿宋_GB2312" w:hAnsi="Times New Roman" w:eastAsia="仿宋_GB2312" w:cs="Times New Roman"/>
                <w:color w:val="000000"/>
                <w:sz w:val="24"/>
                <w:lang w:val="en-US" w:eastAsia="zh-CN"/>
              </w:rPr>
              <w:t>的行为的行政处罚</w:t>
            </w:r>
          </w:p>
        </w:tc>
        <w:tc>
          <w:tcPr>
            <w:tcW w:w="939" w:type="dxa"/>
            <w:vAlign w:val="center"/>
          </w:tcPr>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440212080000</w:t>
            </w: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第三十三条第二款、</w:t>
            </w:r>
            <w:r>
              <w:rPr>
                <w:rFonts w:hint="eastAsia" w:ascii="仿宋_GB2312" w:hAnsi="Times New Roman" w:eastAsia="仿宋_GB2312" w:cs="Times New Roman"/>
                <w:color w:val="000000"/>
                <w:sz w:val="24"/>
                <w:lang w:val="en"/>
              </w:rPr>
              <w:t>第六十条</w:t>
            </w:r>
            <w:r>
              <w:rPr>
                <w:rFonts w:hint="eastAsia" w:ascii="仿宋_GB2312" w:hAnsi="Times New Roman" w:eastAsia="仿宋_GB2312" w:cs="Times New Roman"/>
                <w:color w:val="000000"/>
                <w:sz w:val="24"/>
                <w:lang w:val="en-US" w:eastAsia="zh-CN"/>
              </w:rPr>
              <w:t xml:space="preserve"> </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val="en" w:eastAsia="zh-CN"/>
              </w:rPr>
              <w:t>及时改正，</w:t>
            </w:r>
            <w:r>
              <w:rPr>
                <w:rFonts w:hint="eastAsia" w:ascii="仿宋_GB2312" w:hAnsi="Times New Roman" w:eastAsia="仿宋_GB2312" w:cs="Times New Roman"/>
                <w:color w:val="000000"/>
                <w:sz w:val="24"/>
                <w:lang w:val="en" w:eastAsia="zh-Hans"/>
              </w:rPr>
              <w:t>汇交</w:t>
            </w:r>
            <w:r>
              <w:rPr>
                <w:rFonts w:hint="eastAsia" w:ascii="仿宋_GB2312" w:hAnsi="Times New Roman" w:eastAsia="仿宋_GB2312" w:cs="Times New Roman"/>
                <w:color w:val="000000"/>
                <w:sz w:val="24"/>
                <w:lang w:val="en" w:eastAsia="zh-CN"/>
              </w:rPr>
              <w:t>测绘成果资料</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635" w:type="dxa"/>
            <w:vAlign w:val="center"/>
          </w:tcPr>
          <w:p>
            <w:pPr>
              <w:spacing w:line="300" w:lineRule="exact"/>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r>
              <w:rPr>
                <w:rFonts w:ascii="仿宋_GB2312" w:hAnsi="Times New Roman" w:eastAsia="仿宋_GB2312" w:cs="Times New Roman"/>
                <w:color w:val="000000"/>
                <w:sz w:val="24"/>
              </w:rPr>
              <w:t>0</w:t>
            </w:r>
          </w:p>
        </w:tc>
        <w:tc>
          <w:tcPr>
            <w:tcW w:w="1729"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hint="eastAsia" w:ascii="仿宋_GB2312" w:hAnsi="Times New Roman" w:eastAsia="仿宋_GB2312" w:cs="Times New Roman"/>
                <w:color w:val="000000"/>
                <w:sz w:val="24"/>
                <w:u w:val="none"/>
                <w:lang w:val="en" w:eastAsia="zh-Hans"/>
              </w:rPr>
              <w:t>实施基础测绘项目，不使用全国统一的测绘基准和测绘系统或者不执行国家规定的测绘技术规范和标准</w:t>
            </w:r>
            <w:r>
              <w:rPr>
                <w:rFonts w:hint="eastAsia" w:ascii="仿宋_GB2312" w:hAnsi="Times New Roman" w:eastAsia="仿宋_GB2312" w:cs="Times New Roman"/>
                <w:color w:val="000000"/>
                <w:sz w:val="24"/>
                <w:u w:val="none"/>
                <w:lang w:val="en-US" w:eastAsia="zh-CN"/>
              </w:rPr>
              <w:t>的行为的行政处罚</w:t>
            </w:r>
          </w:p>
        </w:tc>
        <w:tc>
          <w:tcPr>
            <w:tcW w:w="939" w:type="dxa"/>
            <w:vAlign w:val="center"/>
          </w:tcPr>
          <w:p>
            <w:pPr>
              <w:jc w:val="center"/>
              <w:rPr>
                <w:rFonts w:hint="eastAsia" w:ascii="仿宋_GB2312" w:hAnsi="Times New Roman" w:eastAsia="仿宋_GB2312" w:cs="Times New Roman"/>
                <w:color w:val="000000"/>
                <w:sz w:val="24"/>
                <w:lang w:val="en" w:eastAsia="zh-CN"/>
              </w:rPr>
            </w:pPr>
            <w:r>
              <w:rPr>
                <w:rFonts w:hint="eastAsia" w:ascii="仿宋_GB2312" w:hAnsi="Times New Roman" w:eastAsia="仿宋_GB2312" w:cs="Times New Roman"/>
                <w:color w:val="000000"/>
                <w:sz w:val="24"/>
                <w:lang w:val="en" w:eastAsia="zh-CN"/>
              </w:rPr>
              <w:t>44021200Y000</w:t>
            </w:r>
          </w:p>
          <w:p>
            <w:pPr>
              <w:jc w:val="center"/>
              <w:rPr>
                <w:rFonts w:hint="eastAsia" w:ascii="仿宋_GB2312" w:hAnsi="Times New Roman" w:eastAsia="仿宋_GB2312" w:cs="Times New Roman"/>
                <w:color w:val="000000"/>
                <w:sz w:val="24"/>
                <w:lang w:val="en" w:eastAsia="zh-CN"/>
              </w:rPr>
            </w:pPr>
          </w:p>
        </w:tc>
        <w:tc>
          <w:tcPr>
            <w:tcW w:w="5055" w:type="dxa"/>
            <w:vAlign w:val="center"/>
          </w:tcPr>
          <w:p>
            <w:pP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
              </w:rPr>
              <w:t>【法律】</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1.《测绘法》（2017年修订）</w:t>
            </w:r>
            <w:r>
              <w:rPr>
                <w:rFonts w:hint="eastAsia" w:ascii="仿宋_GB2312" w:hAnsi="Times New Roman" w:eastAsia="仿宋_GB2312" w:cs="Times New Roman"/>
                <w:color w:val="000000"/>
                <w:sz w:val="24"/>
                <w:lang w:val="en-US" w:eastAsia="zh-CN"/>
              </w:rPr>
              <w:t>第五条</w:t>
            </w:r>
          </w:p>
          <w:p>
            <w:pPr>
              <w:rPr>
                <w:rFonts w:ascii="仿宋_GB2312" w:hAnsi="Times New Roman" w:eastAsia="仿宋_GB2312" w:cs="Times New Roman"/>
                <w:color w:val="000000"/>
                <w:sz w:val="24"/>
                <w:lang w:val="en" w:eastAsia="zh-Hans"/>
              </w:rPr>
            </w:pPr>
            <w:r>
              <w:rPr>
                <w:rFonts w:hint="eastAsia" w:ascii="仿宋_GB2312" w:hAnsi="Times New Roman" w:eastAsia="仿宋_GB2312" w:cs="Times New Roman"/>
                <w:color w:val="000000"/>
                <w:sz w:val="24"/>
                <w:lang w:val="en"/>
              </w:rPr>
              <w:t>【行政法规】</w:t>
            </w:r>
            <w:r>
              <w:rPr>
                <w:rFonts w:hint="eastAsia" w:ascii="仿宋_GB2312" w:hAnsi="Times New Roman" w:eastAsia="仿宋_GB2312" w:cs="Times New Roman"/>
                <w:color w:val="000000"/>
                <w:sz w:val="24"/>
                <w:lang w:val="en"/>
              </w:rPr>
              <w:br w:type="textWrapping"/>
            </w:r>
            <w:r>
              <w:rPr>
                <w:rFonts w:hint="eastAsia" w:ascii="仿宋_GB2312" w:hAnsi="Times New Roman" w:eastAsia="仿宋_GB2312" w:cs="Times New Roman"/>
                <w:color w:val="000000"/>
                <w:sz w:val="24"/>
                <w:lang w:val="en"/>
              </w:rPr>
              <w:t>1.《基础测绘条例》（</w:t>
            </w:r>
            <w:r>
              <w:rPr>
                <w:rFonts w:hint="eastAsia" w:ascii="仿宋_GB2312" w:hAnsi="Times New Roman" w:eastAsia="仿宋_GB2312" w:cs="Times New Roman"/>
                <w:color w:val="000000"/>
                <w:sz w:val="24"/>
              </w:rPr>
              <w:t>2009年</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lang w:val="en-US" w:eastAsia="zh-CN"/>
              </w:rPr>
              <w:t>第十七条、第二十五条、</w:t>
            </w:r>
            <w:r>
              <w:rPr>
                <w:rFonts w:hint="eastAsia" w:ascii="仿宋_GB2312" w:hAnsi="Times New Roman" w:eastAsia="仿宋_GB2312" w:cs="Times New Roman"/>
                <w:color w:val="000000"/>
                <w:sz w:val="24"/>
                <w:lang w:val="en"/>
              </w:rPr>
              <w:t>第三十一条</w:t>
            </w:r>
          </w:p>
        </w:tc>
        <w:tc>
          <w:tcPr>
            <w:tcW w:w="3576" w:type="dxa"/>
            <w:vAlign w:val="center"/>
          </w:tcPr>
          <w:p>
            <w:pPr>
              <w:rPr>
                <w:rFonts w:ascii="仿宋_GB2312" w:hAnsi="Times New Roman" w:eastAsia="仿宋_GB2312" w:cs="Times New Roman"/>
                <w:color w:val="000000"/>
                <w:sz w:val="24"/>
                <w:lang w:eastAsia="zh-Hans"/>
              </w:rPr>
            </w:pPr>
            <w:r>
              <w:rPr>
                <w:rFonts w:hint="eastAsia" w:ascii="仿宋_GB2312" w:hAnsi="Times New Roman" w:eastAsia="仿宋_GB2312" w:cs="Times New Roman"/>
                <w:color w:val="000000"/>
                <w:sz w:val="24"/>
                <w:lang w:eastAsia="zh-CN"/>
              </w:rPr>
              <w:t>违法行为轻微，</w:t>
            </w:r>
            <w:r>
              <w:rPr>
                <w:rFonts w:hint="eastAsia" w:ascii="仿宋_GB2312" w:hAnsi="Times New Roman" w:eastAsia="仿宋_GB2312" w:cs="Times New Roman"/>
                <w:color w:val="000000"/>
                <w:sz w:val="24"/>
              </w:rPr>
              <w:t>积极配合查处工作，</w:t>
            </w:r>
            <w:r>
              <w:rPr>
                <w:rFonts w:hint="eastAsia" w:ascii="仿宋_GB2312" w:hAnsi="Times New Roman" w:eastAsia="仿宋_GB2312" w:cs="Times New Roman"/>
                <w:color w:val="000000"/>
                <w:sz w:val="24"/>
                <w:lang w:eastAsia="zh-CN"/>
              </w:rPr>
              <w:t>及时</w:t>
            </w:r>
            <w:r>
              <w:rPr>
                <w:rFonts w:ascii="仿宋_GB2312" w:hAnsi="Times New Roman" w:eastAsia="仿宋_GB2312" w:cs="Times New Roman"/>
                <w:color w:val="000000"/>
                <w:sz w:val="24"/>
                <w:lang w:eastAsia="zh-Hans"/>
              </w:rPr>
              <w:t>改正</w:t>
            </w:r>
            <w:r>
              <w:rPr>
                <w:rFonts w:hint="eastAsia" w:ascii="仿宋_GB2312" w:hAnsi="Times New Roman" w:eastAsia="仿宋_GB2312" w:cs="Times New Roman"/>
                <w:color w:val="000000"/>
                <w:sz w:val="24"/>
              </w:rPr>
              <w:t>，按照规定</w:t>
            </w:r>
            <w:r>
              <w:rPr>
                <w:rFonts w:hint="eastAsia" w:ascii="仿宋_GB2312" w:hAnsi="Times New Roman" w:eastAsia="仿宋_GB2312" w:cs="Times New Roman"/>
                <w:color w:val="000000"/>
                <w:sz w:val="24"/>
                <w:lang w:val="en" w:eastAsia="zh-Hans"/>
              </w:rPr>
              <w:t>使用全国统一的测绘基准和测绘系统或者执行国家规定的测绘技术规范和标准</w:t>
            </w:r>
            <w:r>
              <w:rPr>
                <w:rFonts w:hint="eastAsia" w:ascii="仿宋_GB2312" w:hAnsi="Times New Roman" w:eastAsia="仿宋_GB2312" w:cs="Times New Roman"/>
                <w:color w:val="000000"/>
                <w:sz w:val="24"/>
                <w:lang w:val="en"/>
              </w:rPr>
              <w:t>，</w:t>
            </w:r>
            <w:r>
              <w:rPr>
                <w:rFonts w:hint="eastAsia" w:ascii="仿宋_GB2312" w:hAnsi="Times New Roman" w:eastAsia="仿宋_GB2312" w:cs="Times New Roman"/>
                <w:color w:val="000000"/>
                <w:sz w:val="24"/>
              </w:rPr>
              <w:t>没有造成</w:t>
            </w:r>
            <w:r>
              <w:rPr>
                <w:rFonts w:hint="eastAsia" w:ascii="仿宋_GB2312" w:hAnsi="Times New Roman" w:eastAsia="仿宋_GB2312" w:cs="Times New Roman"/>
                <w:color w:val="000000"/>
                <w:sz w:val="24"/>
                <w:lang w:eastAsia="zh-CN"/>
              </w:rPr>
              <w:t>危害</w:t>
            </w:r>
            <w:r>
              <w:rPr>
                <w:rFonts w:hint="eastAsia" w:ascii="仿宋_GB2312" w:hAnsi="Times New Roman" w:eastAsia="仿宋_GB2312" w:cs="Times New Roman"/>
                <w:color w:val="000000"/>
                <w:sz w:val="24"/>
              </w:rPr>
              <w:t>后果</w:t>
            </w:r>
          </w:p>
        </w:tc>
        <w:tc>
          <w:tcPr>
            <w:tcW w:w="1224" w:type="dxa"/>
            <w:vAlign w:val="center"/>
          </w:tcPr>
          <w:p>
            <w:pPr>
              <w:spacing w:line="300" w:lineRule="exact"/>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《行政处罚法》（2021年修订）第三十三条</w:t>
            </w:r>
          </w:p>
        </w:tc>
        <w:tc>
          <w:tcPr>
            <w:tcW w:w="1737" w:type="dxa"/>
            <w:vAlign w:val="center"/>
          </w:tcPr>
          <w:p>
            <w:pPr>
              <w:spacing w:line="300" w:lineRule="exac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35" w:type="dxa"/>
            <w:vAlign w:val="center"/>
          </w:tcPr>
          <w:p>
            <w:pPr>
              <w:spacing w:line="300" w:lineRule="exact"/>
              <w:jc w:val="center"/>
              <w:rPr>
                <w:rFonts w:hint="eastAsia" w:ascii="仿宋_GB2312" w:hAnsi="Times New Roman" w:eastAsia="仿宋_GB2312" w:cs="Times New Roman"/>
                <w:color w:val="000000"/>
                <w:sz w:val="24"/>
                <w:lang w:eastAsia="zh-CN"/>
              </w:rPr>
            </w:pPr>
            <w:r>
              <w:rPr>
                <w:rFonts w:ascii="仿宋_GB2312" w:hAnsi="Times New Roman" w:eastAsia="仿宋_GB2312" w:cs="Times New Roman"/>
                <w:color w:val="000000"/>
                <w:sz w:val="24"/>
              </w:rPr>
              <w:t>3</w:t>
            </w:r>
            <w:r>
              <w:rPr>
                <w:rFonts w:hint="eastAsia" w:ascii="仿宋_GB2312" w:hAnsi="Times New Roman" w:eastAsia="仿宋_GB2312" w:cs="Times New Roman"/>
                <w:color w:val="000000"/>
                <w:sz w:val="24"/>
                <w:lang w:val="en-US" w:eastAsia="zh-CN"/>
              </w:rPr>
              <w:t>1</w:t>
            </w:r>
          </w:p>
        </w:tc>
        <w:tc>
          <w:tcPr>
            <w:tcW w:w="1729" w:type="dxa"/>
            <w:vAlign w:val="center"/>
          </w:tcPr>
          <w:p>
            <w:pP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对</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建设单位未在建设工程竣工验收后六个月内向城乡规划主管部门报送有关竣工验收资料</w:t>
            </w: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的行为的行政处罚</w:t>
            </w:r>
          </w:p>
        </w:tc>
        <w:tc>
          <w:tcPr>
            <w:tcW w:w="939" w:type="dxa"/>
            <w:vAlign w:val="center"/>
          </w:tcPr>
          <w:p>
            <w:pPr>
              <w:jc w:val="center"/>
              <w:rPr>
                <w:rFonts w:hint="eastAsia" w:ascii="仿宋_GB2312" w:hAnsi="Times New Roman" w:eastAsia="仿宋_GB2312" w:cs="Times New Roman"/>
                <w:color w:val="000000" w:themeColor="text1"/>
                <w:sz w:val="24"/>
                <w:u w:val="none"/>
                <w:lang w:val="en"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 w:eastAsia="zh-CN"/>
                <w14:textFill>
                  <w14:solidFill>
                    <w14:schemeClr w14:val="tx1"/>
                  </w14:solidFill>
                </w14:textFill>
              </w:rPr>
              <w:t>44021200P000</w:t>
            </w:r>
          </w:p>
          <w:p>
            <w:pPr>
              <w:jc w:val="center"/>
              <w:rPr>
                <w:rFonts w:hint="eastAsia" w:ascii="仿宋_GB2312" w:hAnsi="Times New Roman" w:eastAsia="仿宋_GB2312" w:cs="Times New Roman"/>
                <w:color w:val="000000" w:themeColor="text1"/>
                <w:sz w:val="24"/>
                <w:u w:val="none"/>
                <w:lang w:val="en" w:eastAsia="zh-CN"/>
                <w14:textFill>
                  <w14:solidFill>
                    <w14:schemeClr w14:val="tx1"/>
                  </w14:solidFill>
                </w14:textFill>
              </w:rPr>
            </w:pPr>
          </w:p>
        </w:tc>
        <w:tc>
          <w:tcPr>
            <w:tcW w:w="5055" w:type="dxa"/>
            <w:vAlign w:val="center"/>
          </w:tcPr>
          <w:p>
            <w:pPr>
              <w:rPr>
                <w:rFonts w:ascii="仿宋_GB2312" w:hAnsi="Times New Roman" w:eastAsia="仿宋_GB2312" w:cs="Times New Roman"/>
                <w:color w:val="000000" w:themeColor="text1"/>
                <w:sz w:val="24"/>
                <w:u w:val="none"/>
                <w:lang w:val="en" w:eastAsia="zh-Hans"/>
                <w14:textFill>
                  <w14:solidFill>
                    <w14:schemeClr w14:val="tx1"/>
                  </w14:solidFill>
                </w14:textFill>
              </w:rPr>
            </w:pP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【法律】</w:t>
            </w:r>
          </w:p>
          <w:p>
            <w:pPr>
              <w:rPr>
                <w:rFonts w:ascii="仿宋_GB2312" w:hAnsi="Times New Roman" w:eastAsia="仿宋_GB2312" w:cs="Times New Roman"/>
                <w:color w:val="000000" w:themeColor="text1"/>
                <w:sz w:val="24"/>
                <w:u w:val="none"/>
                <w:lang w:val="en"/>
                <w14:textFill>
                  <w14:solidFill>
                    <w14:schemeClr w14:val="tx1"/>
                  </w14:solidFill>
                </w14:textFill>
              </w:rPr>
            </w:pP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1.《城乡规划法》（2019年修正）</w:t>
            </w: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第四十五条、</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 xml:space="preserve">第六十七条 </w:t>
            </w:r>
          </w:p>
        </w:tc>
        <w:tc>
          <w:tcPr>
            <w:tcW w:w="3576" w:type="dxa"/>
            <w:vAlign w:val="center"/>
          </w:tcPr>
          <w:p>
            <w:pPr>
              <w:rPr>
                <w:rFonts w:ascii="仿宋_GB2312" w:hAnsi="Times New Roman" w:eastAsia="仿宋_GB2312" w:cs="Times New Roman"/>
                <w:color w:val="000000" w:themeColor="text1"/>
                <w:sz w:val="24"/>
                <w:u w:val="none"/>
                <w:lang w:eastAsia="zh-Hans"/>
                <w14:textFill>
                  <w14:solidFill>
                    <w14:schemeClr w14:val="tx1"/>
                  </w14:solidFill>
                </w14:textFill>
              </w:rPr>
            </w:pPr>
            <w:r>
              <w:rPr>
                <w:rFonts w:hint="eastAsia" w:ascii="仿宋_GB2312" w:hAnsi="Times New Roman" w:eastAsia="仿宋_GB2312" w:cs="Times New Roman"/>
                <w:color w:val="000000" w:themeColor="text1"/>
                <w:sz w:val="24"/>
                <w:u w:val="none"/>
                <w:lang w:eastAsia="zh-CN"/>
                <w14:textFill>
                  <w14:solidFill>
                    <w14:schemeClr w14:val="tx1"/>
                  </w14:solidFill>
                </w14:textFill>
              </w:rPr>
              <w:t>违法行为轻微，</w:t>
            </w:r>
            <w:r>
              <w:rPr>
                <w:rFonts w:hint="eastAsia" w:ascii="仿宋_GB2312" w:hAnsi="Times New Roman" w:eastAsia="仿宋_GB2312" w:cs="Times New Roman"/>
                <w:color w:val="000000" w:themeColor="text1"/>
                <w:sz w:val="24"/>
                <w:u w:val="none"/>
                <w14:textFill>
                  <w14:solidFill>
                    <w14:schemeClr w14:val="tx1"/>
                  </w14:solidFill>
                </w14:textFill>
              </w:rPr>
              <w:t>积极配合查处工作，</w:t>
            </w:r>
            <w:r>
              <w:rPr>
                <w:rFonts w:hint="eastAsia" w:ascii="仿宋_GB2312" w:hAnsi="Times New Roman" w:eastAsia="仿宋_GB2312" w:cs="Times New Roman"/>
                <w:color w:val="000000" w:themeColor="text1"/>
                <w:sz w:val="24"/>
                <w:u w:val="none"/>
                <w:lang w:eastAsia="zh-CN"/>
                <w14:textFill>
                  <w14:solidFill>
                    <w14:schemeClr w14:val="tx1"/>
                  </w14:solidFill>
                </w14:textFill>
              </w:rPr>
              <w:t>及时</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补报</w:t>
            </w:r>
            <w:r>
              <w:rPr>
                <w:rFonts w:hint="eastAsia" w:ascii="仿宋_GB2312" w:hAnsi="Times New Roman" w:eastAsia="仿宋_GB2312" w:cs="Times New Roman"/>
                <w:color w:val="000000" w:themeColor="text1"/>
                <w:sz w:val="24"/>
                <w:u w:val="none"/>
                <w:lang w:val="en" w:eastAsia="zh-CN"/>
                <w14:textFill>
                  <w14:solidFill>
                    <w14:schemeClr w14:val="tx1"/>
                  </w14:solidFill>
                </w14:textFill>
              </w:rPr>
              <w:t>竣工验收</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资料</w:t>
            </w:r>
            <w:r>
              <w:rPr>
                <w:rFonts w:hint="eastAsia" w:ascii="仿宋_GB2312" w:hAnsi="Times New Roman" w:eastAsia="仿宋_GB2312" w:cs="Times New Roman"/>
                <w:color w:val="000000" w:themeColor="text1"/>
                <w:sz w:val="24"/>
                <w:u w:val="none"/>
                <w:lang w:val="en"/>
                <w14:textFill>
                  <w14:solidFill>
                    <w14:schemeClr w14:val="tx1"/>
                  </w14:solidFill>
                </w14:textFill>
              </w:rPr>
              <w:t>，</w:t>
            </w:r>
            <w:r>
              <w:rPr>
                <w:rFonts w:hint="eastAsia" w:ascii="仿宋_GB2312" w:hAnsi="Times New Roman" w:eastAsia="仿宋_GB2312" w:cs="Times New Roman"/>
                <w:color w:val="000000" w:themeColor="text1"/>
                <w:sz w:val="24"/>
                <w:u w:val="none"/>
                <w14:textFill>
                  <w14:solidFill>
                    <w14:schemeClr w14:val="tx1"/>
                  </w14:solidFill>
                </w14:textFill>
              </w:rPr>
              <w:t>没有造成</w:t>
            </w:r>
            <w:r>
              <w:rPr>
                <w:rFonts w:hint="eastAsia" w:ascii="仿宋_GB2312" w:hAnsi="Times New Roman" w:eastAsia="仿宋_GB2312" w:cs="Times New Roman"/>
                <w:color w:val="000000" w:themeColor="text1"/>
                <w:sz w:val="24"/>
                <w:u w:val="none"/>
                <w:lang w:eastAsia="zh-CN"/>
                <w14:textFill>
                  <w14:solidFill>
                    <w14:schemeClr w14:val="tx1"/>
                  </w14:solidFill>
                </w14:textFill>
              </w:rPr>
              <w:t>危害</w:t>
            </w:r>
            <w:r>
              <w:rPr>
                <w:rFonts w:hint="eastAsia" w:ascii="仿宋_GB2312" w:hAnsi="Times New Roman" w:eastAsia="仿宋_GB2312" w:cs="Times New Roman"/>
                <w:color w:val="000000" w:themeColor="text1"/>
                <w:sz w:val="24"/>
                <w:u w:val="none"/>
                <w14:textFill>
                  <w14:solidFill>
                    <w14:schemeClr w14:val="tx1"/>
                  </w14:solidFill>
                </w14:textFill>
              </w:rPr>
              <w:t>后果</w:t>
            </w:r>
          </w:p>
        </w:tc>
        <w:tc>
          <w:tcPr>
            <w:tcW w:w="1224" w:type="dxa"/>
            <w:vAlign w:val="center"/>
          </w:tcPr>
          <w:p>
            <w:pPr>
              <w:spacing w:line="300" w:lineRule="exact"/>
              <w:jc w:val="both"/>
              <w:rPr>
                <w:rFonts w:ascii="仿宋_GB2312" w:hAnsi="Times New Roman" w:eastAsia="仿宋_GB2312" w:cs="Times New Roman"/>
                <w:color w:val="000000" w:themeColor="text1"/>
                <w:sz w:val="24"/>
                <w:u w:val="none"/>
                <w14:textFill>
                  <w14:solidFill>
                    <w14:schemeClr w14:val="tx1"/>
                  </w14:solidFill>
                </w14:textFill>
              </w:rPr>
            </w:pPr>
            <w:r>
              <w:rPr>
                <w:rFonts w:hint="eastAsia" w:ascii="仿宋_GB2312" w:hAnsi="Times New Roman" w:eastAsia="仿宋_GB2312" w:cs="Times New Roman"/>
                <w:color w:val="000000" w:themeColor="text1"/>
                <w:sz w:val="24"/>
                <w:u w:val="none"/>
                <w14:textFill>
                  <w14:solidFill>
                    <w14:schemeClr w14:val="tx1"/>
                  </w14:solidFill>
                </w14:textFill>
              </w:rPr>
              <w:t>《行政处罚法》（2021年修订）第三十三条</w:t>
            </w:r>
          </w:p>
        </w:tc>
        <w:tc>
          <w:tcPr>
            <w:tcW w:w="1737" w:type="dxa"/>
            <w:vAlign w:val="center"/>
          </w:tcPr>
          <w:p>
            <w:pPr>
              <w:spacing w:line="300" w:lineRule="exact"/>
              <w:jc w:val="left"/>
              <w:rPr>
                <w:rFonts w:ascii="仿宋_GB2312" w:hAnsi="Times New Roman" w:eastAsia="仿宋_GB2312" w:cs="Times New Roman"/>
                <w:color w:val="000000" w:themeColor="text1"/>
                <w:sz w:val="24"/>
                <w:u w:val="none"/>
                <w14:textFill>
                  <w14:solidFill>
                    <w14:schemeClr w14:val="tx1"/>
                  </w14:solidFill>
                </w14:textFill>
              </w:rPr>
            </w:pPr>
            <w:r>
              <w:rPr>
                <w:rFonts w:hint="eastAsia" w:ascii="仿宋_GB2312" w:hAnsi="Times New Roman" w:eastAsia="仿宋_GB2312" w:cs="Times New Roman"/>
                <w:color w:val="000000" w:themeColor="text1"/>
                <w:sz w:val="24"/>
                <w:u w:val="none"/>
                <w14:textFill>
                  <w14:solidFill>
                    <w14:schemeClr w14:val="tx1"/>
                  </w14:solidFill>
                </w14:textFill>
              </w:rPr>
              <w:t>加强教育，及时复查整改情况、加强行政检查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635" w:type="dxa"/>
            <w:vAlign w:val="center"/>
          </w:tcPr>
          <w:p>
            <w:pPr>
              <w:spacing w:line="300" w:lineRule="exact"/>
              <w:jc w:val="cente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32</w:t>
            </w:r>
          </w:p>
        </w:tc>
        <w:tc>
          <w:tcPr>
            <w:tcW w:w="1729" w:type="dxa"/>
            <w:vAlign w:val="center"/>
          </w:tcPr>
          <w:p>
            <w:pP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对收藏单位不符合收藏条件收藏恐龙化石的行为的行政处罚</w:t>
            </w:r>
          </w:p>
        </w:tc>
        <w:tc>
          <w:tcPr>
            <w:tcW w:w="939" w:type="dxa"/>
            <w:vAlign w:val="center"/>
          </w:tcPr>
          <w:p>
            <w:pPr>
              <w:jc w:val="center"/>
              <w:rPr>
                <w:rFonts w:hint="eastAsia" w:ascii="仿宋_GB2312" w:hAnsi="Times New Roman" w:eastAsia="仿宋_GB2312" w:cs="Times New Roman"/>
                <w:color w:val="000000" w:themeColor="text1"/>
                <w:sz w:val="24"/>
                <w:u w:val="none"/>
                <w:lang w:val="en" w:eastAsia="zh-CN"/>
                <w14:textFill>
                  <w14:solidFill>
                    <w14:schemeClr w14:val="tx1"/>
                  </w14:solidFill>
                </w14:textFill>
              </w:rPr>
            </w:pPr>
          </w:p>
        </w:tc>
        <w:tc>
          <w:tcPr>
            <w:tcW w:w="5055" w:type="dxa"/>
            <w:vAlign w:val="center"/>
          </w:tcPr>
          <w:p>
            <w:pPr>
              <w:rPr>
                <w:rFonts w:ascii="仿宋_GB2312" w:hAnsi="Times New Roman" w:eastAsia="仿宋_GB2312" w:cs="Times New Roman"/>
                <w:color w:val="000000" w:themeColor="text1"/>
                <w:sz w:val="24"/>
                <w:u w:val="none"/>
                <w:lang w:val="en" w:eastAsia="zh-Hans"/>
                <w14:textFill>
                  <w14:solidFill>
                    <w14:schemeClr w14:val="tx1"/>
                  </w14:solidFill>
                </w14:textFill>
              </w:rPr>
            </w:pP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w:t>
            </w: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地方性法规</w:t>
            </w:r>
            <w:r>
              <w:rPr>
                <w:rFonts w:hint="eastAsia" w:ascii="仿宋_GB2312" w:hAnsi="Times New Roman" w:eastAsia="仿宋_GB2312" w:cs="Times New Roman"/>
                <w:color w:val="000000" w:themeColor="text1"/>
                <w:sz w:val="24"/>
                <w:u w:val="none"/>
                <w:lang w:val="en" w:eastAsia="zh-Hans"/>
                <w14:textFill>
                  <w14:solidFill>
                    <w14:schemeClr w14:val="tx1"/>
                  </w14:solidFill>
                </w14:textFill>
              </w:rPr>
              <w:t>】</w:t>
            </w:r>
          </w:p>
          <w:p>
            <w:pP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1.《河源市恐龙地质遗迹保护条例》第十八条第一款、第三十一条</w:t>
            </w:r>
          </w:p>
        </w:tc>
        <w:tc>
          <w:tcPr>
            <w:tcW w:w="3576" w:type="dxa"/>
            <w:vAlign w:val="center"/>
          </w:tcPr>
          <w:p>
            <w:pPr>
              <w:rPr>
                <w:rFonts w:hint="default" w:ascii="仿宋_GB2312" w:hAnsi="Times New Roman" w:eastAsia="仿宋_GB2312" w:cs="Times New Roman"/>
                <w:color w:val="000000" w:themeColor="text1"/>
                <w:sz w:val="24"/>
                <w:u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u w:val="none"/>
                <w:lang w:val="en-US" w:eastAsia="zh-CN"/>
                <w14:textFill>
                  <w14:solidFill>
                    <w14:schemeClr w14:val="tx1"/>
                  </w14:solidFill>
                </w14:textFill>
              </w:rPr>
              <w:t>初次违法，积极配合查处工作，及时改正，危害后果轻微</w:t>
            </w:r>
          </w:p>
        </w:tc>
        <w:tc>
          <w:tcPr>
            <w:tcW w:w="1224" w:type="dxa"/>
            <w:vAlign w:val="center"/>
          </w:tcPr>
          <w:p>
            <w:pPr>
              <w:spacing w:line="300" w:lineRule="exact"/>
              <w:jc w:val="both"/>
              <w:rPr>
                <w:rFonts w:hint="eastAsia" w:ascii="仿宋_GB2312" w:hAnsi="Times New Roman" w:eastAsia="仿宋_GB2312"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sz w:val="24"/>
                <w:u w:val="none"/>
                <w14:textFill>
                  <w14:solidFill>
                    <w14:schemeClr w14:val="tx1"/>
                  </w14:solidFill>
                </w14:textFill>
              </w:rPr>
              <w:t>《行政处罚法》（2021年修订）第三十三条</w:t>
            </w:r>
          </w:p>
        </w:tc>
        <w:tc>
          <w:tcPr>
            <w:tcW w:w="1737" w:type="dxa"/>
            <w:vAlign w:val="center"/>
          </w:tcPr>
          <w:p>
            <w:pPr>
              <w:spacing w:line="300" w:lineRule="exact"/>
              <w:jc w:val="left"/>
              <w:rPr>
                <w:rFonts w:hint="eastAsia" w:ascii="仿宋_GB2312" w:hAnsi="Times New Roman" w:eastAsia="仿宋_GB2312"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sz w:val="24"/>
                <w:u w:val="none"/>
                <w14:textFill>
                  <w14:solidFill>
                    <w14:schemeClr w14:val="tx1"/>
                  </w14:solidFill>
                </w14:textFill>
              </w:rPr>
              <w:t>加强教育，及时复查整改情况、加强行政检查</w:t>
            </w:r>
          </w:p>
        </w:tc>
      </w:tr>
    </w:tbl>
    <w:p>
      <w:pPr>
        <w:rPr>
          <w:rFonts w:ascii="方正小标宋简体" w:hAnsi="方正小标宋简体" w:eastAsia="方正小标宋简体" w:cs="方正小标宋简体"/>
          <w:bCs/>
          <w:color w:val="000000"/>
          <w:sz w:val="32"/>
          <w:szCs w:val="32"/>
        </w:rPr>
      </w:pPr>
    </w:p>
    <w:p>
      <w:pPr>
        <w:widowControl/>
        <w:jc w:val="left"/>
        <w:rPr>
          <w:rFonts w:hint="eastAsia" w:ascii="方正小标宋简体" w:hAnsi="方正小标宋简体" w:eastAsia="方正小标宋简体" w:cs="方正小标宋简体"/>
          <w:bCs/>
          <w:color w:val="000000"/>
          <w:sz w:val="32"/>
          <w:szCs w:val="32"/>
        </w:rPr>
      </w:pPr>
      <w:r>
        <w:rPr>
          <w:rFonts w:ascii="方正小标宋简体" w:hAnsi="方正小标宋简体" w:eastAsia="方正小标宋简体" w:cs="方正小标宋简体"/>
          <w:bCs/>
          <w:color w:val="000000"/>
          <w:sz w:val="32"/>
          <w:szCs w:val="32"/>
        </w:rPr>
        <w:br w:type="page"/>
      </w:r>
    </w:p>
    <w:p>
      <w:pPr>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从轻处罚清单</w:t>
      </w:r>
    </w:p>
    <w:tbl>
      <w:tblPr>
        <w:tblStyle w:val="6"/>
        <w:tblW w:w="14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668"/>
        <w:gridCol w:w="1021"/>
        <w:gridCol w:w="4943"/>
        <w:gridCol w:w="2117"/>
        <w:gridCol w:w="1093"/>
        <w:gridCol w:w="208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blHeader/>
        </w:trPr>
        <w:tc>
          <w:tcPr>
            <w:tcW w:w="621"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668"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21"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943"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设定依据</w:t>
            </w:r>
          </w:p>
        </w:tc>
        <w:tc>
          <w:tcPr>
            <w:tcW w:w="2117"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从轻处罚适用情形</w:t>
            </w:r>
          </w:p>
        </w:tc>
        <w:tc>
          <w:tcPr>
            <w:tcW w:w="10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从轻处罚适用依据</w:t>
            </w:r>
          </w:p>
        </w:tc>
        <w:tc>
          <w:tcPr>
            <w:tcW w:w="2080"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352" w:type="dxa"/>
            <w:vAlign w:val="center"/>
          </w:tcPr>
          <w:p>
            <w:pPr>
              <w:jc w:val="center"/>
              <w:rPr>
                <w:rFonts w:ascii="方正小标宋简体" w:hAnsi="方正小标宋简体" w:eastAsia="方正小标宋简体" w:cs="方正小标宋简体"/>
                <w:bCs/>
                <w:color w:val="000000"/>
                <w:sz w:val="24"/>
                <w:szCs w:val="16"/>
              </w:rPr>
            </w:pPr>
            <w:r>
              <w:rPr>
                <w:rFonts w:hint="eastAsia" w:ascii="黑体" w:hAnsi="黑体" w:eastAsia="黑体" w:cs="黑体"/>
                <w:color w:val="000000"/>
                <w:sz w:val="24"/>
                <w:szCs w:val="16"/>
              </w:rPr>
              <w:t>从轻处罚后监管措施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668" w:type="dxa"/>
            <w:vMerge w:val="restart"/>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未经批准或者采取欺骗手段骗取批准，非法占用土地</w:t>
            </w:r>
            <w:r>
              <w:rPr>
                <w:rFonts w:hint="eastAsia" w:ascii="仿宋_GB2312" w:hAnsi="Times New Roman" w:eastAsia="仿宋_GB2312" w:cs="Times New Roman"/>
                <w:color w:val="000000"/>
                <w:sz w:val="24"/>
                <w:lang w:val="en-US" w:eastAsia="zh-CN"/>
              </w:rPr>
              <w:t>的行为的行政处罚</w:t>
            </w:r>
          </w:p>
        </w:tc>
        <w:tc>
          <w:tcPr>
            <w:tcW w:w="1021" w:type="dxa"/>
            <w:vMerge w:val="restart"/>
            <w:vAlign w:val="center"/>
          </w:tcPr>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ind w:firstLine="0"/>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004000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hint="eastAsia" w:ascii="仿宋_GB2312" w:hAnsi="Times New Roman" w:eastAsia="仿宋_GB2312" w:cs="Times New Roman"/>
                <w:color w:val="000000"/>
                <w:sz w:val="24"/>
              </w:rPr>
              <w:t>第七十七条第一款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1.《土地管理法实施条例》（2021年修订）第五十七条第一款</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2.《基本农田保护条例》（2011年修订）第三十条第一项</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1.《广东省土地管理条例》（2022年）</w:t>
            </w:r>
            <w:r>
              <w:rPr>
                <w:rFonts w:hint="eastAsia" w:ascii="仿宋_GB2312" w:hAnsi="Times New Roman" w:eastAsia="仿宋_GB2312" w:cs="Times New Roman"/>
                <w:color w:val="000000"/>
                <w:sz w:val="24"/>
                <w:lang w:eastAsia="zh-CN"/>
              </w:rPr>
              <w:t>第二十四条、第二十五条、</w:t>
            </w:r>
            <w:r>
              <w:rPr>
                <w:rFonts w:hint="eastAsia" w:ascii="仿宋_GB2312" w:hAnsi="Times New Roman" w:eastAsia="仿宋_GB2312" w:cs="Times New Roman"/>
                <w:color w:val="000000"/>
                <w:sz w:val="24"/>
              </w:rPr>
              <w:t>第五十二条</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val="en-US" w:eastAsia="zh-CN"/>
              </w:rPr>
              <w:t>2.</w:t>
            </w:r>
            <w:r>
              <w:rPr>
                <w:rFonts w:hint="eastAsia" w:ascii="仿宋_GB2312" w:hAnsi="Times New Roman" w:eastAsia="仿宋_GB2312" w:cs="Times New Roman"/>
                <w:color w:val="000000"/>
                <w:sz w:val="24"/>
              </w:rPr>
              <w:t>《广东省基本农田保护区管理条例》（2014年修正）第二十二条第一款第一项</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restart"/>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668" w:type="dxa"/>
            <w:vMerge w:val="restart"/>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超过批准的数量占用土地</w:t>
            </w:r>
            <w:r>
              <w:rPr>
                <w:rFonts w:hint="eastAsia" w:ascii="仿宋_GB2312" w:hAnsi="Times New Roman" w:eastAsia="仿宋_GB2312" w:cs="Times New Roman"/>
                <w:color w:val="000000"/>
                <w:sz w:val="24"/>
                <w:u w:val="none"/>
                <w:lang w:val="en-US" w:eastAsia="zh-CN"/>
              </w:rPr>
              <w:t>的行为的行政处罚</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p>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val="en-US" w:eastAsia="zh-CN"/>
              </w:rPr>
              <w:t>01J000</w:t>
            </w:r>
          </w:p>
          <w:p>
            <w:pPr>
              <w:jc w:val="center"/>
              <w:rPr>
                <w:rFonts w:hint="eastAsia" w:ascii="仿宋_GB2312" w:hAnsi="Times New Roman" w:eastAsia="仿宋_GB2312" w:cs="Times New Roman"/>
                <w:color w:val="000000"/>
                <w:sz w:val="24"/>
                <w:lang w:eastAsia="zh-CN"/>
              </w:rPr>
            </w:pPr>
          </w:p>
        </w:tc>
        <w:tc>
          <w:tcPr>
            <w:tcW w:w="4943" w:type="dxa"/>
            <w:vMerge w:val="restart"/>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1.《土地管理法》（2019年修正）</w:t>
            </w:r>
            <w:r>
              <w:rPr>
                <w:rFonts w:hint="eastAsia" w:ascii="仿宋_GB2312" w:hAnsi="Times New Roman" w:eastAsia="仿宋_GB2312" w:cs="Times New Roman"/>
                <w:color w:val="000000"/>
                <w:sz w:val="24"/>
                <w:lang w:val="en-US" w:eastAsia="zh-CN"/>
              </w:rPr>
              <w:t>第四十四条、</w:t>
            </w:r>
            <w:r>
              <w:rPr>
                <w:rFonts w:ascii="仿宋_GB2312" w:hAnsi="Times New Roman" w:eastAsia="仿宋_GB2312" w:cs="Times New Roman"/>
                <w:color w:val="000000"/>
                <w:sz w:val="24"/>
              </w:rPr>
              <w:t>第七十七条</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1.《土地管理法实施条例》（2021年修订）第五十七条第一款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2.《基本农田保护条例》（2011年修订）第三十条第一项 </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【地方性法规】</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1.《广东省土地管理条例》（2022年）第五十二条  </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 xml:space="preserve">2.《广东省基本农田保护区管理条例》（2014年修正）第二十二条第一款第一项 </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both"/>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restart"/>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668" w:type="dxa"/>
            <w:vMerge w:val="restart"/>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在国土空间规划确定的禁止开垦的范围内从事土地开发活动</w:t>
            </w:r>
            <w:r>
              <w:rPr>
                <w:rFonts w:hint="eastAsia" w:ascii="仿宋_GB2312" w:hAnsi="Times New Roman" w:eastAsia="仿宋_GB2312" w:cs="Times New Roman"/>
                <w:color w:val="000000"/>
                <w:sz w:val="24"/>
                <w:lang w:val="en-US" w:eastAsia="zh-CN"/>
              </w:rPr>
              <w:t>的行为的行政处罚</w:t>
            </w:r>
          </w:p>
        </w:tc>
        <w:tc>
          <w:tcPr>
            <w:tcW w:w="1021" w:type="dxa"/>
            <w:vMerge w:val="restart"/>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009000</w:t>
            </w:r>
          </w:p>
        </w:tc>
        <w:tc>
          <w:tcPr>
            <w:tcW w:w="4943"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rPr>
              <w:t>1.《土地管理法》（2019年修正）第七十七条</w:t>
            </w:r>
            <w:r>
              <w:rPr>
                <w:rFonts w:hint="eastAsia" w:ascii="仿宋_GB2312" w:hAnsi="Times New Roman" w:eastAsia="仿宋_GB2312" w:cs="Times New Roman"/>
                <w:color w:val="000000"/>
                <w:sz w:val="24"/>
                <w:lang w:eastAsia="zh-CN"/>
              </w:rPr>
              <w:t>第一款</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 xml:space="preserve">1.《土地管理法实施条例》（2021年修订）第九条第一款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2.《土地管理法实施条例》（2021年修订）第五十七条</w:t>
            </w:r>
          </w:p>
        </w:tc>
        <w:tc>
          <w:tcPr>
            <w:tcW w:w="2117"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积极配合查处工作，主动停止违法行为，</w:t>
            </w:r>
            <w:r>
              <w:rPr>
                <w:rFonts w:hint="eastAsia" w:ascii="仿宋_GB2312" w:hAnsi="Times New Roman" w:eastAsia="仿宋_GB2312" w:cs="Times New Roman"/>
                <w:color w:val="000000"/>
                <w:sz w:val="24"/>
                <w:lang w:eastAsia="zh-CN"/>
              </w:rPr>
              <w:t>主动采取措施消除或减轻危害</w:t>
            </w:r>
            <w:r>
              <w:rPr>
                <w:rFonts w:hint="eastAsia" w:ascii="仿宋_GB2312" w:hAnsi="Times New Roman" w:eastAsia="仿宋_GB2312" w:cs="Times New Roman"/>
                <w:color w:val="000000"/>
                <w:sz w:val="24"/>
              </w:rPr>
              <w:t>后果</w:t>
            </w:r>
            <w:r>
              <w:rPr>
                <w:rFonts w:hint="eastAsia" w:ascii="仿宋_GB2312" w:hAnsi="Times New Roman" w:eastAsia="仿宋_GB2312" w:cs="Times New Roman"/>
                <w:color w:val="000000"/>
                <w:sz w:val="24"/>
                <w:lang w:eastAsia="zh-CN"/>
              </w:rPr>
              <w:t>，及时</w:t>
            </w:r>
            <w:r>
              <w:rPr>
                <w:rFonts w:hint="eastAsia" w:ascii="仿宋_GB2312" w:hAnsi="Times New Roman" w:eastAsia="仿宋_GB2312" w:cs="Times New Roman"/>
                <w:color w:val="000000"/>
                <w:sz w:val="24"/>
              </w:rPr>
              <w:t>恢复土地原状</w:t>
            </w:r>
            <w:r>
              <w:rPr>
                <w:rFonts w:hint="eastAsia" w:ascii="仿宋_GB2312" w:hAnsi="Times New Roman" w:eastAsia="仿宋_GB2312" w:cs="Times New Roman"/>
                <w:color w:val="000000"/>
                <w:sz w:val="24"/>
                <w:lang w:eastAsia="zh-CN"/>
              </w:rPr>
              <w:t>（涉及耕地的，应恢复种植条件并通过验收）</w:t>
            </w:r>
            <w:r>
              <w:rPr>
                <w:rFonts w:hint="eastAsia" w:ascii="仿宋_GB2312" w:hAnsi="Times New Roman" w:eastAsia="仿宋_GB2312" w:cs="Times New Roman"/>
                <w:color w:val="000000"/>
                <w:sz w:val="24"/>
              </w:rPr>
              <w:t>，退还土地</w:t>
            </w:r>
          </w:p>
        </w:tc>
        <w:tc>
          <w:tcPr>
            <w:tcW w:w="1093" w:type="dxa"/>
            <w:vMerge w:val="restart"/>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占用建设用地或未利用地的，可以</w:t>
            </w:r>
            <w:r>
              <w:rPr>
                <w:rFonts w:hint="eastAsia" w:ascii="仿宋_GB2312" w:hAnsi="Times New Roman" w:eastAsia="仿宋_GB2312" w:cs="Times New Roman"/>
                <w:color w:val="000000"/>
                <w:sz w:val="24"/>
              </w:rPr>
              <w:t>处每平方米100元</w:t>
            </w:r>
            <w:r>
              <w:rPr>
                <w:rFonts w:hint="eastAsia" w:ascii="仿宋_GB2312" w:hAnsi="Times New Roman" w:eastAsia="仿宋_GB2312" w:cs="Times New Roman"/>
                <w:color w:val="000000"/>
                <w:sz w:val="24"/>
                <w:lang w:eastAsia="zh-CN"/>
              </w:rPr>
              <w:t>（含）以上</w:t>
            </w:r>
            <w:r>
              <w:rPr>
                <w:rFonts w:hint="eastAsia" w:ascii="仿宋_GB2312" w:hAnsi="Times New Roman" w:eastAsia="仿宋_GB2312" w:cs="Times New Roman"/>
                <w:color w:val="000000"/>
                <w:sz w:val="24"/>
                <w:lang w:val="en-US" w:eastAsia="zh-CN"/>
              </w:rPr>
              <w:t>200元以下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restart"/>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tc>
        <w:tc>
          <w:tcPr>
            <w:tcW w:w="1668" w:type="dxa"/>
            <w:vMerge w:val="continue"/>
            <w:vAlign w:val="center"/>
          </w:tcPr>
          <w:p/>
        </w:tc>
        <w:tc>
          <w:tcPr>
            <w:tcW w:w="1021" w:type="dxa"/>
            <w:vMerge w:val="continue"/>
            <w:vAlign w:val="center"/>
          </w:tcPr>
          <w:p/>
        </w:tc>
        <w:tc>
          <w:tcPr>
            <w:tcW w:w="4943" w:type="dxa"/>
            <w:vMerge w:val="continue"/>
            <w:vAlign w:val="center"/>
          </w:tcPr>
          <w:p/>
        </w:tc>
        <w:tc>
          <w:tcPr>
            <w:tcW w:w="2117" w:type="dxa"/>
            <w:vMerge w:val="continue"/>
            <w:vAlign w:val="center"/>
          </w:tcPr>
          <w:p/>
        </w:tc>
        <w:tc>
          <w:tcPr>
            <w:tcW w:w="1093" w:type="dxa"/>
            <w:vMerge w:val="continue"/>
            <w:vAlign w:val="center"/>
          </w:tc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占用除耕地以外的其他农用地的，可以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30</w:t>
            </w:r>
            <w:r>
              <w:rPr>
                <w:rFonts w:hint="eastAsia" w:ascii="仿宋_GB2312" w:hAnsi="Times New Roman" w:eastAsia="仿宋_GB2312" w:cs="Times New Roman"/>
                <w:color w:val="000000"/>
                <w:sz w:val="24"/>
              </w:rPr>
              <w:t>0元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400元以下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占用永久基本农田以外的耕地的，可以</w:t>
            </w:r>
            <w:r>
              <w:rPr>
                <w:rFonts w:hint="eastAsia" w:ascii="仿宋_GB2312" w:hAnsi="Times New Roman" w:eastAsia="仿宋_GB2312" w:cs="Times New Roman"/>
                <w:color w:val="000000"/>
                <w:sz w:val="24"/>
              </w:rPr>
              <w:t>处每平方米</w:t>
            </w:r>
            <w:r>
              <w:rPr>
                <w:rFonts w:hint="eastAsia" w:ascii="仿宋_GB2312" w:hAnsi="Times New Roman" w:eastAsia="仿宋_GB2312" w:cs="Times New Roman"/>
                <w:color w:val="000000"/>
                <w:sz w:val="24"/>
                <w:lang w:val="en-US" w:eastAsia="zh-CN"/>
              </w:rPr>
              <w:t>500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600元以下</w:t>
            </w:r>
            <w:r>
              <w:rPr>
                <w:rFonts w:hint="eastAsia" w:ascii="仿宋_GB2312" w:hAnsi="Times New Roman" w:eastAsia="仿宋_GB2312" w:cs="Times New Roman"/>
                <w:color w:val="000000"/>
                <w:sz w:val="24"/>
              </w:rPr>
              <w:t>的罚款</w:t>
            </w:r>
            <w:r>
              <w:rPr>
                <w:rFonts w:hint="eastAsia" w:ascii="仿宋_GB2312" w:hAnsi="Times New Roman" w:eastAsia="仿宋_GB2312" w:cs="Times New Roman"/>
                <w:color w:val="000000"/>
                <w:sz w:val="24"/>
                <w:lang w:eastAsia="zh-CN"/>
              </w:rPr>
              <w:t>；</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21" w:type="dxa"/>
            <w:vMerge w:val="continue"/>
            <w:vAlign w:val="center"/>
          </w:tcPr>
          <w:p>
            <w:pPr>
              <w:rPr>
                <w:rFonts w:hint="eastAsia" w:ascii="仿宋_GB2312" w:hAnsi="Times New Roman" w:eastAsia="仿宋_GB2312" w:cs="Times New Roman"/>
                <w:color w:val="000000"/>
                <w:sz w:val="24"/>
                <w:lang w:eastAsia="zh-CN"/>
              </w:rPr>
            </w:pPr>
          </w:p>
        </w:tc>
        <w:tc>
          <w:tcPr>
            <w:tcW w:w="1668" w:type="dxa"/>
            <w:vMerge w:val="continue"/>
            <w:vAlign w:val="center"/>
          </w:tcPr>
          <w:p>
            <w:pPr>
              <w:rPr>
                <w:rFonts w:hint="eastAsia" w:ascii="仿宋_GB2312" w:hAnsi="Times New Roman" w:eastAsia="仿宋_GB2312" w:cs="Times New Roman"/>
                <w:color w:val="000000"/>
                <w:sz w:val="24"/>
                <w:lang w:eastAsia="zh-CN"/>
              </w:rPr>
            </w:pPr>
          </w:p>
        </w:tc>
        <w:tc>
          <w:tcPr>
            <w:tcW w:w="1021" w:type="dxa"/>
            <w:vMerge w:val="continue"/>
            <w:vAlign w:val="center"/>
          </w:tcPr>
          <w:p>
            <w:pPr>
              <w:rPr>
                <w:rFonts w:hint="eastAsia" w:ascii="仿宋_GB2312" w:hAnsi="Times New Roman" w:eastAsia="仿宋_GB2312" w:cs="Times New Roman"/>
                <w:color w:val="000000"/>
                <w:sz w:val="24"/>
                <w:lang w:eastAsia="zh-CN"/>
              </w:rPr>
            </w:pPr>
          </w:p>
        </w:tc>
        <w:tc>
          <w:tcPr>
            <w:tcW w:w="4943" w:type="dxa"/>
            <w:vMerge w:val="continue"/>
            <w:vAlign w:val="center"/>
          </w:tcPr>
          <w:p>
            <w:pPr>
              <w:rPr>
                <w:rFonts w:hint="eastAsia" w:ascii="仿宋_GB2312" w:hAnsi="Times New Roman" w:eastAsia="仿宋_GB2312" w:cs="Times New Roman"/>
                <w:color w:val="000000"/>
                <w:sz w:val="24"/>
                <w:lang w:eastAsia="zh-CN"/>
              </w:rPr>
            </w:pPr>
          </w:p>
        </w:tc>
        <w:tc>
          <w:tcPr>
            <w:tcW w:w="2117" w:type="dxa"/>
            <w:vMerge w:val="continue"/>
            <w:vAlign w:val="center"/>
          </w:tcPr>
          <w:p>
            <w:pPr>
              <w:rPr>
                <w:rFonts w:hint="eastAsia" w:ascii="仿宋_GB2312" w:hAnsi="Times New Roman" w:eastAsia="仿宋_GB2312" w:cs="Times New Roman"/>
                <w:color w:val="000000"/>
                <w:sz w:val="24"/>
                <w:lang w:eastAsia="zh-CN"/>
              </w:rPr>
            </w:pPr>
          </w:p>
        </w:tc>
        <w:tc>
          <w:tcPr>
            <w:tcW w:w="1093" w:type="dxa"/>
            <w:vMerge w:val="continue"/>
            <w:vAlign w:val="center"/>
          </w:tcPr>
          <w:p>
            <w:pPr>
              <w:rPr>
                <w:rFonts w:hint="eastAsia" w:ascii="仿宋_GB2312" w:hAnsi="Times New Roman" w:eastAsia="仿宋_GB2312" w:cs="Times New Roman"/>
                <w:color w:val="000000"/>
                <w:sz w:val="24"/>
                <w:lang w:eastAsia="zh-CN"/>
              </w:rPr>
            </w:pPr>
          </w:p>
        </w:tc>
        <w:tc>
          <w:tcPr>
            <w:tcW w:w="2080"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占用永久基本农田的，可以处</w:t>
            </w:r>
            <w:r>
              <w:rPr>
                <w:rFonts w:hint="eastAsia" w:ascii="仿宋_GB2312" w:hAnsi="Times New Roman" w:eastAsia="仿宋_GB2312" w:cs="Times New Roman"/>
                <w:color w:val="000000"/>
                <w:sz w:val="24"/>
              </w:rPr>
              <w:t>每平方米</w:t>
            </w:r>
            <w:r>
              <w:rPr>
                <w:rFonts w:hint="eastAsia" w:ascii="仿宋_GB2312" w:hAnsi="Times New Roman" w:eastAsia="仿宋_GB2312" w:cs="Times New Roman"/>
                <w:color w:val="000000"/>
                <w:sz w:val="24"/>
                <w:lang w:val="en-US" w:eastAsia="zh-CN"/>
              </w:rPr>
              <w:t>800</w:t>
            </w:r>
            <w:r>
              <w:rPr>
                <w:rFonts w:hint="eastAsia" w:ascii="仿宋_GB2312" w:hAnsi="Times New Roman" w:eastAsia="仿宋_GB2312" w:cs="Times New Roman"/>
                <w:color w:val="000000"/>
                <w:sz w:val="24"/>
              </w:rPr>
              <w:t>元</w:t>
            </w:r>
            <w:r>
              <w:rPr>
                <w:rFonts w:hint="eastAsia" w:ascii="仿宋_GB2312" w:hAnsi="Times New Roman" w:eastAsia="仿宋_GB2312" w:cs="Times New Roman"/>
                <w:color w:val="000000"/>
                <w:sz w:val="24"/>
                <w:lang w:eastAsia="zh-CN"/>
              </w:rPr>
              <w:t>以上</w:t>
            </w:r>
            <w:r>
              <w:rPr>
                <w:rFonts w:hint="eastAsia" w:ascii="仿宋_GB2312" w:hAnsi="Times New Roman" w:eastAsia="仿宋_GB2312" w:cs="Times New Roman"/>
                <w:color w:val="000000"/>
                <w:sz w:val="24"/>
                <w:lang w:val="en-US" w:eastAsia="zh-CN"/>
              </w:rPr>
              <w:t>900元以下</w:t>
            </w:r>
            <w:r>
              <w:rPr>
                <w:rFonts w:hint="eastAsia" w:ascii="仿宋_GB2312" w:hAnsi="Times New Roman" w:eastAsia="仿宋_GB2312" w:cs="Times New Roman"/>
                <w:color w:val="000000"/>
                <w:sz w:val="24"/>
              </w:rPr>
              <w:t>的罚款</w:t>
            </w:r>
          </w:p>
        </w:tc>
        <w:tc>
          <w:tcPr>
            <w:tcW w:w="1352" w:type="dxa"/>
            <w:vMerge w:val="continue"/>
            <w:vAlign w:val="center"/>
          </w:tcPr>
          <w:p>
            <w:pPr>
              <w:rPr>
                <w:rFonts w:hint="eastAsia" w:ascii="仿宋_GB2312" w:hAnsi="Times New Roman" w:eastAsia="仿宋_GB2312" w:cs="Times New Roman"/>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4</w:t>
            </w:r>
          </w:p>
        </w:tc>
        <w:tc>
          <w:tcPr>
            <w:tcW w:w="1668"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接受调查的单位和个人拒绝或者阻挠土地调查人员依法进行调查</w:t>
            </w:r>
            <w:r>
              <w:rPr>
                <w:rFonts w:hint="eastAsia" w:ascii="仿宋_GB2312" w:hAnsi="Times New Roman" w:eastAsia="仿宋_GB2312" w:cs="Times New Roman"/>
                <w:color w:val="000000"/>
                <w:sz w:val="24"/>
                <w:u w:val="none"/>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第三十二条第一项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积极配合土地调查</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5</w:t>
            </w:r>
          </w:p>
        </w:tc>
        <w:tc>
          <w:tcPr>
            <w:tcW w:w="1668"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接受调查的单位和个人拒绝提供调查资料</w:t>
            </w:r>
            <w:r>
              <w:rPr>
                <w:rFonts w:hint="eastAsia" w:ascii="仿宋_GB2312" w:hAnsi="Times New Roman" w:eastAsia="仿宋_GB2312" w:cs="Times New Roman"/>
                <w:color w:val="000000"/>
                <w:sz w:val="24"/>
                <w:u w:val="none"/>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021000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1.《土地调查条例》（2018年修订）</w:t>
            </w:r>
            <w:r>
              <w:rPr>
                <w:rFonts w:hint="eastAsia" w:ascii="仿宋_GB2312" w:hAnsi="Times New Roman" w:eastAsia="仿宋_GB2312" w:cs="Times New Roman"/>
                <w:color w:val="000000"/>
                <w:sz w:val="24"/>
                <w:lang w:val="en-US" w:eastAsia="zh-CN"/>
              </w:rPr>
              <w:t>第十七条、</w:t>
            </w:r>
            <w:r>
              <w:rPr>
                <w:rFonts w:ascii="仿宋_GB2312" w:hAnsi="Times New Roman" w:eastAsia="仿宋_GB2312" w:cs="Times New Roman"/>
                <w:color w:val="000000"/>
                <w:sz w:val="24"/>
              </w:rPr>
              <w:t>第三十二条第三项</w:t>
            </w:r>
          </w:p>
        </w:tc>
        <w:tc>
          <w:tcPr>
            <w:tcW w:w="2117"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积极配合提供调查资料</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处1</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6</w:t>
            </w:r>
          </w:p>
        </w:tc>
        <w:tc>
          <w:tcPr>
            <w:tcW w:w="1668"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在地质灾害危险区内爆破、削坡、进行工程建设以及从事其他可能引发地质灾害活动</w:t>
            </w:r>
            <w:r>
              <w:rPr>
                <w:rFonts w:hint="eastAsia" w:ascii="仿宋_GB2312" w:hAnsi="Times New Roman" w:eastAsia="仿宋_GB2312" w:cs="Times New Roman"/>
                <w:color w:val="000000"/>
                <w:sz w:val="24"/>
                <w:u w:val="none"/>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045000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1.《地质灾害防治条例》（2003年）</w:t>
            </w:r>
            <w:r>
              <w:rPr>
                <w:rFonts w:hint="eastAsia" w:ascii="仿宋_GB2312" w:hAnsi="Times New Roman" w:eastAsia="仿宋_GB2312" w:cs="Times New Roman"/>
                <w:color w:val="000000"/>
                <w:sz w:val="24"/>
                <w:lang w:val="en-US" w:eastAsia="zh-CN"/>
              </w:rPr>
              <w:t>第十九条第二款、</w:t>
            </w:r>
            <w:r>
              <w:rPr>
                <w:rFonts w:ascii="仿宋_GB2312" w:hAnsi="Times New Roman" w:eastAsia="仿宋_GB2312" w:cs="Times New Roman"/>
                <w:color w:val="000000"/>
                <w:sz w:val="24"/>
              </w:rPr>
              <w:t xml:space="preserve">第四十三条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【地方性法规】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1.《广东省矿产资源管理条例》（2012年修正）第六十二条第一项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依法对他人进行赔偿，</w:t>
            </w:r>
            <w:r>
              <w:rPr>
                <w:rFonts w:hint="eastAsia" w:ascii="仿宋_GB2312" w:hAnsi="Times New Roman" w:eastAsia="仿宋_GB2312" w:cs="Times New Roman"/>
                <w:color w:val="000000"/>
                <w:sz w:val="24"/>
                <w:lang w:eastAsia="zh-CN"/>
              </w:rPr>
              <w:t>没有实际引发灾情险情</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对单位处5万元（含）以上8万元以下罚款；对个人处1万元（含）以上2万元以下罚款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7</w:t>
            </w:r>
          </w:p>
        </w:tc>
        <w:tc>
          <w:tcPr>
            <w:tcW w:w="1668" w:type="dxa"/>
            <w:vAlign w:val="center"/>
          </w:tcPr>
          <w:p>
            <w:pPr>
              <w:rPr>
                <w:rFonts w:hint="default" w:ascii="仿宋_GB2312" w:hAnsi="Times New Roman" w:eastAsia="仿宋_GB2312" w:cs="Times New Roman"/>
                <w:color w:val="000000"/>
                <w:sz w:val="24"/>
                <w:u w:val="none"/>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损毁、擅自移动永久性测量标志或者正在使用中的临时性测量标志</w:t>
            </w:r>
            <w:r>
              <w:rPr>
                <w:rFonts w:hint="eastAsia" w:ascii="仿宋_GB2312" w:hAnsi="Times New Roman" w:eastAsia="仿宋_GB2312" w:cs="Times New Roman"/>
                <w:color w:val="000000"/>
                <w:sz w:val="24"/>
                <w:u w:val="none"/>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第六十四条第一项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1.《测量标志保护条例》（2011年修订）第二十二条第一项</w:t>
            </w:r>
          </w:p>
        </w:tc>
        <w:tc>
          <w:tcPr>
            <w:tcW w:w="2117"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及时采取措施维修、归位测量标志，测量标志</w:t>
            </w:r>
            <w:r>
              <w:rPr>
                <w:rFonts w:hint="eastAsia" w:ascii="仿宋_GB2312" w:hAnsi="Times New Roman" w:eastAsia="仿宋_GB2312" w:cs="Times New Roman"/>
                <w:color w:val="000000"/>
                <w:sz w:val="24"/>
                <w:lang w:eastAsia="zh-CN"/>
              </w:rPr>
              <w:t>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8</w:t>
            </w:r>
          </w:p>
        </w:tc>
        <w:tc>
          <w:tcPr>
            <w:tcW w:w="1668"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侵占永久性测量标志用地</w:t>
            </w:r>
            <w:r>
              <w:rPr>
                <w:rFonts w:hint="eastAsia" w:ascii="仿宋_GB2312" w:hAnsi="Times New Roman" w:eastAsia="仿宋_GB2312" w:cs="Times New Roman"/>
                <w:color w:val="000000"/>
                <w:sz w:val="24"/>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第六十四条第二项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1.《测量标志保护条例》（2011年修订）第二十二条第二项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及时采取措施恢复测量标志用地，测量标志未失去使用效能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621"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9</w:t>
            </w:r>
          </w:p>
        </w:tc>
        <w:tc>
          <w:tcPr>
            <w:tcW w:w="1668"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在永久性测量标志安全控制范围内从事危害测量标志安全和使用效能的活动</w:t>
            </w:r>
            <w:r>
              <w:rPr>
                <w:rFonts w:hint="eastAsia" w:ascii="仿宋_GB2312" w:hAnsi="Times New Roman" w:eastAsia="仿宋_GB2312" w:cs="Times New Roman"/>
                <w:color w:val="000000"/>
                <w:sz w:val="24"/>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第四十一条、</w:t>
            </w:r>
            <w:r>
              <w:rPr>
                <w:rFonts w:ascii="仿宋_GB2312" w:hAnsi="Times New Roman" w:eastAsia="仿宋_GB2312" w:cs="Times New Roman"/>
                <w:color w:val="000000"/>
                <w:sz w:val="24"/>
              </w:rPr>
              <w:t xml:space="preserve">第六十四条第三项 </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1.《测量标志保护条例》（2011年修订）第二十二条第三项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及时采取措施恢复测量标志安全和使用效能，测量标志未失去使用效能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0</w:t>
            </w:r>
          </w:p>
        </w:tc>
        <w:tc>
          <w:tcPr>
            <w:tcW w:w="1668"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擅自拆迁永久性测量标志或者使永久性量标志失去使用效能，或者拒绝支付迁建费用</w:t>
            </w:r>
            <w:r>
              <w:rPr>
                <w:rFonts w:hint="eastAsia" w:ascii="仿宋_GB2312" w:hAnsi="Times New Roman" w:eastAsia="仿宋_GB2312" w:cs="Times New Roman"/>
                <w:color w:val="000000"/>
                <w:sz w:val="24"/>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第四十三条、</w:t>
            </w:r>
            <w:r>
              <w:rPr>
                <w:rFonts w:ascii="仿宋_GB2312" w:hAnsi="Times New Roman" w:eastAsia="仿宋_GB2312" w:cs="Times New Roman"/>
                <w:color w:val="000000"/>
                <w:sz w:val="24"/>
              </w:rPr>
              <w:t>第六十四条第四项</w:t>
            </w:r>
          </w:p>
        </w:tc>
        <w:tc>
          <w:tcPr>
            <w:tcW w:w="2117"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及时采取措施迁建测量标志，恢复测量标志使用效能，测量标志未失去使用效能</w:t>
            </w:r>
            <w:r>
              <w:rPr>
                <w:rFonts w:hint="eastAsia" w:ascii="仿宋_GB2312" w:hAnsi="Times New Roman" w:eastAsia="仿宋_GB2312" w:cs="Times New Roman"/>
                <w:color w:val="000000"/>
                <w:sz w:val="24"/>
                <w:lang w:eastAsia="zh-CN"/>
              </w:rPr>
              <w:t>，</w:t>
            </w:r>
            <w:r>
              <w:rPr>
                <w:rFonts w:hint="eastAsia" w:ascii="仿宋_GB2312" w:hAnsi="Times New Roman" w:eastAsia="仿宋_GB2312" w:cs="Times New Roman"/>
                <w:color w:val="000000"/>
                <w:sz w:val="24"/>
              </w:rPr>
              <w:t>或者按照规定支付迁建费</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621" w:type="dxa"/>
            <w:vAlign w:val="center"/>
          </w:tcPr>
          <w:p>
            <w:pPr>
              <w:jc w:val="cente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r>
              <w:rPr>
                <w:rFonts w:ascii="仿宋_GB2312" w:hAnsi="Times New Roman" w:eastAsia="仿宋_GB2312" w:cs="Times New Roman"/>
                <w:color w:val="000000"/>
                <w:sz w:val="24"/>
              </w:rPr>
              <w:t>1</w:t>
            </w:r>
          </w:p>
        </w:tc>
        <w:tc>
          <w:tcPr>
            <w:tcW w:w="1668"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违反操作规程使用永久性测量标志，造成永久性测量标志毁损</w:t>
            </w:r>
            <w:r>
              <w:rPr>
                <w:rFonts w:hint="eastAsia" w:ascii="仿宋_GB2312" w:hAnsi="Times New Roman" w:eastAsia="仿宋_GB2312" w:cs="Times New Roman"/>
                <w:color w:val="000000"/>
                <w:sz w:val="24"/>
                <w:lang w:val="en-US" w:eastAsia="zh-CN"/>
              </w:rPr>
              <w:t>的行为的行政处罚</w:t>
            </w:r>
          </w:p>
        </w:tc>
        <w:tc>
          <w:tcPr>
            <w:tcW w:w="1021"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084000</w:t>
            </w:r>
          </w:p>
        </w:tc>
        <w:tc>
          <w:tcPr>
            <w:tcW w:w="4943"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eastAsia="zh-CN"/>
              </w:rPr>
              <w:t>第四十四条、</w:t>
            </w:r>
            <w:r>
              <w:rPr>
                <w:rFonts w:ascii="仿宋_GB2312" w:hAnsi="Times New Roman" w:eastAsia="仿宋_GB2312" w:cs="Times New Roman"/>
                <w:color w:val="000000"/>
                <w:sz w:val="24"/>
              </w:rPr>
              <w:t>第六十四条第五项</w:t>
            </w:r>
          </w:p>
        </w:tc>
        <w:tc>
          <w:tcPr>
            <w:tcW w:w="2117" w:type="dxa"/>
            <w:vAlign w:val="center"/>
          </w:tcPr>
          <w:p>
            <w:pPr>
              <w:rPr>
                <w:rFonts w:ascii="仿宋_GB2312" w:hAnsi="Times New Roman" w:eastAsia="仿宋_GB2312" w:cs="Times New Roman"/>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及时采取措施恢复测量标志使用效能，测量标志未失去使用效能</w:t>
            </w:r>
          </w:p>
        </w:tc>
        <w:tc>
          <w:tcPr>
            <w:tcW w:w="1093" w:type="dxa"/>
            <w:vAlign w:val="center"/>
          </w:tcPr>
          <w:p>
            <w:pPr>
              <w:jc w:val="left"/>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2080"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可以</w:t>
            </w:r>
            <w:r>
              <w:rPr>
                <w:rFonts w:hint="eastAsia" w:ascii="仿宋_GB2312" w:hAnsi="Times New Roman" w:eastAsia="仿宋_GB2312" w:cs="Times New Roman"/>
                <w:color w:val="000000"/>
                <w:sz w:val="24"/>
              </w:rPr>
              <w:t>处5</w:t>
            </w:r>
            <w:r>
              <w:rPr>
                <w:rFonts w:ascii="仿宋_GB2312" w:hAnsi="Times New Roman" w:eastAsia="仿宋_GB2312" w:cs="Times New Roman"/>
                <w:color w:val="000000"/>
                <w:sz w:val="24"/>
              </w:rPr>
              <w:t>万元以下的罚款</w:t>
            </w:r>
          </w:p>
        </w:tc>
        <w:tc>
          <w:tcPr>
            <w:tcW w:w="1352"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加强教育、及时复查、警示告诫、指导约谈</w:t>
            </w:r>
          </w:p>
        </w:tc>
      </w:tr>
    </w:tbl>
    <w:p>
      <w:pPr>
        <w:rPr>
          <w:rFonts w:ascii="方正小标宋简体" w:hAnsi="方正小标宋简体" w:eastAsia="方正小标宋简体" w:cs="方正小标宋简体"/>
          <w:bCs/>
          <w:color w:val="000000"/>
          <w:sz w:val="32"/>
          <w:szCs w:val="32"/>
        </w:rPr>
      </w:pPr>
    </w:p>
    <w:p>
      <w:pP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br w:type="page"/>
      </w:r>
    </w:p>
    <w:p>
      <w:pPr>
        <w:widowControl/>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减轻处罚清单</w:t>
      </w:r>
    </w:p>
    <w:tbl>
      <w:tblPr>
        <w:tblStyle w:val="6"/>
        <w:tblW w:w="14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595"/>
        <w:gridCol w:w="1059"/>
        <w:gridCol w:w="4865"/>
        <w:gridCol w:w="2393"/>
        <w:gridCol w:w="1594"/>
        <w:gridCol w:w="1286"/>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blHeader/>
        </w:trPr>
        <w:tc>
          <w:tcPr>
            <w:tcW w:w="656"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序号</w:t>
            </w:r>
          </w:p>
        </w:tc>
        <w:tc>
          <w:tcPr>
            <w:tcW w:w="1595" w:type="dxa"/>
            <w:vAlign w:val="center"/>
          </w:tcPr>
          <w:p>
            <w:pPr>
              <w:spacing w:line="300" w:lineRule="exact"/>
              <w:jc w:val="center"/>
              <w:rPr>
                <w:rFonts w:ascii="黑体" w:hAnsi="黑体" w:eastAsia="黑体" w:cs="黑体"/>
                <w:color w:val="000000"/>
                <w:sz w:val="24"/>
                <w:szCs w:val="16"/>
              </w:rPr>
            </w:pPr>
            <w:r>
              <w:rPr>
                <w:rFonts w:hint="eastAsia" w:ascii="黑体" w:hAnsi="黑体" w:eastAsia="黑体" w:cs="黑体"/>
                <w:color w:val="000000"/>
                <w:sz w:val="24"/>
                <w:szCs w:val="16"/>
              </w:rPr>
              <w:t>事项名称</w:t>
            </w:r>
          </w:p>
        </w:tc>
        <w:tc>
          <w:tcPr>
            <w:tcW w:w="1059" w:type="dxa"/>
            <w:vAlign w:val="center"/>
          </w:tcPr>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基本</w:t>
            </w:r>
          </w:p>
          <w:p>
            <w:pPr>
              <w:jc w:val="center"/>
              <w:rPr>
                <w:rFonts w:hint="eastAsia" w:ascii="黑体" w:hAnsi="黑体" w:eastAsia="黑体" w:cs="黑体"/>
                <w:color w:val="000000"/>
                <w:sz w:val="24"/>
                <w:szCs w:val="16"/>
                <w:lang w:eastAsia="zh-CN"/>
              </w:rPr>
            </w:pPr>
            <w:r>
              <w:rPr>
                <w:rFonts w:hint="eastAsia" w:ascii="黑体" w:hAnsi="黑体" w:eastAsia="黑体" w:cs="黑体"/>
                <w:color w:val="000000"/>
                <w:sz w:val="24"/>
                <w:szCs w:val="16"/>
                <w:lang w:eastAsia="zh-CN"/>
              </w:rPr>
              <w:t>编码</w:t>
            </w:r>
          </w:p>
        </w:tc>
        <w:tc>
          <w:tcPr>
            <w:tcW w:w="4865" w:type="dxa"/>
            <w:vAlign w:val="center"/>
          </w:tcPr>
          <w:p>
            <w:pPr>
              <w:jc w:val="center"/>
              <w:rPr>
                <w:rFonts w:ascii="方正小标宋简体" w:hAnsi="方正小标宋简体" w:eastAsia="方正小标宋简体" w:cs="方正小标宋简体"/>
                <w:bCs/>
                <w:color w:val="000000"/>
                <w:sz w:val="44"/>
                <w:szCs w:val="44"/>
              </w:rPr>
            </w:pPr>
            <w:r>
              <w:rPr>
                <w:rFonts w:hint="eastAsia" w:ascii="黑体" w:hAnsi="黑体" w:eastAsia="黑体" w:cs="黑体"/>
                <w:color w:val="000000"/>
                <w:sz w:val="24"/>
                <w:szCs w:val="16"/>
              </w:rPr>
              <w:t>设定依据</w:t>
            </w:r>
          </w:p>
        </w:tc>
        <w:tc>
          <w:tcPr>
            <w:tcW w:w="2393"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减轻处罚适用条件</w:t>
            </w:r>
          </w:p>
        </w:tc>
        <w:tc>
          <w:tcPr>
            <w:tcW w:w="1594"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减轻处罚</w:t>
            </w:r>
          </w:p>
          <w:p>
            <w:pPr>
              <w:jc w:val="center"/>
              <w:rPr>
                <w:rFonts w:ascii="黑体" w:hAnsi="黑体" w:eastAsia="黑体" w:cs="黑体"/>
                <w:color w:val="000000"/>
                <w:sz w:val="24"/>
                <w:szCs w:val="16"/>
              </w:rPr>
            </w:pPr>
            <w:r>
              <w:rPr>
                <w:rFonts w:hint="eastAsia" w:ascii="黑体" w:hAnsi="黑体" w:eastAsia="黑体" w:cs="黑体"/>
                <w:color w:val="000000"/>
                <w:sz w:val="24"/>
                <w:szCs w:val="16"/>
              </w:rPr>
              <w:t>适用依据</w:t>
            </w:r>
          </w:p>
        </w:tc>
        <w:tc>
          <w:tcPr>
            <w:tcW w:w="1286" w:type="dxa"/>
            <w:vAlign w:val="center"/>
          </w:tcPr>
          <w:p>
            <w:pPr>
              <w:jc w:val="center"/>
              <w:rPr>
                <w:rFonts w:ascii="黑体" w:hAnsi="黑体" w:eastAsia="黑体" w:cs="黑体"/>
                <w:color w:val="000000"/>
                <w:sz w:val="24"/>
                <w:szCs w:val="16"/>
              </w:rPr>
            </w:pPr>
            <w:r>
              <w:rPr>
                <w:rFonts w:hint="eastAsia" w:ascii="黑体" w:hAnsi="黑体" w:eastAsia="黑体" w:cs="黑体"/>
                <w:color w:val="000000"/>
                <w:sz w:val="24"/>
                <w:szCs w:val="16"/>
              </w:rPr>
              <w:t>裁量幅度</w:t>
            </w:r>
          </w:p>
        </w:tc>
        <w:tc>
          <w:tcPr>
            <w:tcW w:w="1448" w:type="dxa"/>
            <w:vAlign w:val="center"/>
          </w:tcPr>
          <w:p>
            <w:pPr>
              <w:jc w:val="center"/>
              <w:rPr>
                <w:rFonts w:ascii="方正小标宋简体" w:hAnsi="方正小标宋简体" w:eastAsia="方正小标宋简体" w:cs="方正小标宋简体"/>
                <w:bCs/>
                <w:color w:val="000000"/>
                <w:sz w:val="32"/>
                <w:szCs w:val="32"/>
              </w:rPr>
            </w:pPr>
            <w:r>
              <w:rPr>
                <w:rFonts w:hint="eastAsia" w:ascii="黑体" w:hAnsi="黑体" w:eastAsia="黑体" w:cs="黑体"/>
                <w:color w:val="000000"/>
                <w:sz w:val="24"/>
                <w:szCs w:val="16"/>
              </w:rPr>
              <w:t>减轻处罚后监管措施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w:t>
            </w:r>
          </w:p>
        </w:tc>
        <w:tc>
          <w:tcPr>
            <w:tcW w:w="159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hint="eastAsia" w:ascii="仿宋_GB2312" w:hAnsi="Times New Roman" w:eastAsia="仿宋_GB2312" w:cs="Times New Roman"/>
                <w:color w:val="000000"/>
                <w:sz w:val="24"/>
              </w:rPr>
              <w:t>在临时使用的土地上修建永久性建筑物、构筑物</w:t>
            </w:r>
            <w:r>
              <w:rPr>
                <w:rFonts w:hint="eastAsia" w:ascii="仿宋_GB2312" w:hAnsi="Times New Roman" w:eastAsia="仿宋_GB2312" w:cs="Times New Roman"/>
                <w:color w:val="000000"/>
                <w:sz w:val="24"/>
                <w:lang w:val="en-US" w:eastAsia="zh-CN"/>
              </w:rPr>
              <w:t>的行为的行政处罚</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010000</w:t>
            </w:r>
          </w:p>
        </w:tc>
        <w:tc>
          <w:tcPr>
            <w:tcW w:w="4865"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【法律】</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1.《土地管理法》（2019年修正）第五十七条第二款</w:t>
            </w:r>
          </w:p>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【行政法规】</w:t>
            </w:r>
          </w:p>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1.《土地管理法实施条例》（2021年修订）第五十二条</w:t>
            </w:r>
          </w:p>
        </w:tc>
        <w:tc>
          <w:tcPr>
            <w:tcW w:w="2393" w:type="dxa"/>
            <w:vAlign w:val="center"/>
          </w:tcPr>
          <w:p>
            <w:pP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积极配合查处工作，主动停止违法行为，主动采取措施消除或减轻危害后果，及时</w:t>
            </w:r>
            <w:r>
              <w:rPr>
                <w:rFonts w:hint="eastAsia" w:ascii="仿宋_GB2312" w:hAnsi="Times New Roman" w:eastAsia="仿宋_GB2312" w:cs="Times New Roman"/>
                <w:color w:val="000000"/>
                <w:sz w:val="24"/>
              </w:rPr>
              <w:t>拆除修建的永久性建筑物、构筑物</w:t>
            </w:r>
          </w:p>
        </w:tc>
        <w:tc>
          <w:tcPr>
            <w:tcW w:w="1594"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286"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按占用面积处土地复垦费5倍以下的罚款</w:t>
            </w:r>
          </w:p>
        </w:tc>
        <w:tc>
          <w:tcPr>
            <w:tcW w:w="1448" w:type="dxa"/>
            <w:vAlign w:val="center"/>
          </w:tcPr>
          <w:p>
            <w:pP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2</w:t>
            </w:r>
          </w:p>
        </w:tc>
        <w:tc>
          <w:tcPr>
            <w:tcW w:w="159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u w:val="none"/>
                <w:lang w:val="en-US" w:eastAsia="zh-CN"/>
              </w:rPr>
              <w:t>对</w:t>
            </w:r>
            <w:r>
              <w:rPr>
                <w:rFonts w:ascii="仿宋_GB2312" w:hAnsi="Times New Roman" w:eastAsia="仿宋_GB2312" w:cs="Times New Roman"/>
                <w:color w:val="000000"/>
                <w:sz w:val="24"/>
                <w:u w:val="none"/>
              </w:rPr>
              <w:t>矿山企业未达到经依法审查确定的开采回采率、选矿回收率、共伴生矿产综合利用率和土地复垦等指标</w:t>
            </w:r>
            <w:r>
              <w:rPr>
                <w:rFonts w:hint="eastAsia" w:ascii="仿宋_GB2312" w:hAnsi="Times New Roman" w:eastAsia="仿宋_GB2312" w:cs="Times New Roman"/>
                <w:color w:val="000000"/>
                <w:sz w:val="24"/>
                <w:u w:val="none"/>
                <w:lang w:val="en-US" w:eastAsia="zh-CN"/>
              </w:rPr>
              <w:t>的行为的行政处罚</w:t>
            </w:r>
          </w:p>
        </w:tc>
        <w:tc>
          <w:tcPr>
            <w:tcW w:w="1059" w:type="dxa"/>
            <w:vAlign w:val="center"/>
          </w:tcPr>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440212</w:t>
            </w:r>
          </w:p>
          <w:p>
            <w:pPr>
              <w:jc w:val="center"/>
              <w:rPr>
                <w:rFonts w:hint="eastAsia" w:ascii="仿宋_GB2312" w:hAnsi="Times New Roman" w:eastAsia="仿宋_GB2312" w:cs="Times New Roman"/>
                <w:color w:val="000000"/>
                <w:sz w:val="24"/>
                <w:lang w:eastAsia="zh-CN"/>
              </w:rPr>
            </w:pPr>
            <w:r>
              <w:rPr>
                <w:rFonts w:hint="eastAsia" w:ascii="仿宋_GB2312" w:hAnsi="Times New Roman" w:eastAsia="仿宋_GB2312" w:cs="Times New Roman"/>
                <w:color w:val="000000"/>
                <w:sz w:val="24"/>
                <w:lang w:eastAsia="zh-CN"/>
              </w:rPr>
              <w:t>00G000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r>
              <w:rPr>
                <w:rFonts w:ascii="仿宋_GB2312" w:hAnsi="Times New Roman" w:eastAsia="仿宋_GB2312" w:cs="Times New Roman"/>
                <w:color w:val="000000"/>
                <w:sz w:val="24"/>
              </w:rPr>
              <w:br w:type="textWrapping"/>
            </w:r>
            <w:r>
              <w:rPr>
                <w:rFonts w:ascii="仿宋_GB2312" w:hAnsi="Times New Roman" w:eastAsia="仿宋_GB2312" w:cs="Times New Roman"/>
                <w:color w:val="000000"/>
                <w:sz w:val="24"/>
              </w:rPr>
              <w:t>1.《循环经济促进法》（2018年修正）</w:t>
            </w:r>
            <w:r>
              <w:rPr>
                <w:rFonts w:hint="eastAsia" w:ascii="仿宋_GB2312" w:hAnsi="Times New Roman" w:eastAsia="仿宋_GB2312" w:cs="Times New Roman"/>
                <w:color w:val="000000"/>
                <w:sz w:val="24"/>
                <w:lang w:val="en-US" w:eastAsia="zh-CN"/>
              </w:rPr>
              <w:t>第二十二条、</w:t>
            </w:r>
            <w:r>
              <w:rPr>
                <w:rFonts w:ascii="仿宋_GB2312" w:hAnsi="Times New Roman" w:eastAsia="仿宋_GB2312" w:cs="Times New Roman"/>
                <w:color w:val="000000"/>
                <w:sz w:val="24"/>
              </w:rPr>
              <w:t>第五十三条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主动采取措施提升有关指标使其符合规定</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28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处5万元以下罚款</w:t>
            </w:r>
          </w:p>
        </w:tc>
        <w:tc>
          <w:tcPr>
            <w:tcW w:w="1448"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56" w:type="dxa"/>
            <w:vAlign w:val="center"/>
          </w:tcPr>
          <w:p>
            <w:pPr>
              <w:jc w:val="center"/>
              <w:rPr>
                <w:rFonts w:hint="eastAsia" w:ascii="仿宋_GB2312" w:hAnsi="Times New Roman" w:eastAsia="仿宋_GB2312" w:cs="Times New Roman"/>
                <w:color w:val="000000"/>
                <w:sz w:val="24"/>
              </w:rPr>
            </w:pPr>
            <w:r>
              <w:rPr>
                <w:rFonts w:hint="eastAsia" w:ascii="仿宋_GB2312" w:hAnsi="Times New Roman" w:eastAsia="仿宋_GB2312" w:cs="Times New Roman"/>
                <w:color w:val="000000"/>
                <w:sz w:val="24"/>
              </w:rPr>
              <w:t>3</w:t>
            </w:r>
          </w:p>
        </w:tc>
        <w:tc>
          <w:tcPr>
            <w:tcW w:w="1595" w:type="dxa"/>
            <w:vAlign w:val="center"/>
          </w:tcPr>
          <w:p>
            <w:pP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对</w:t>
            </w:r>
            <w:r>
              <w:rPr>
                <w:rFonts w:ascii="仿宋_GB2312" w:hAnsi="Times New Roman" w:eastAsia="仿宋_GB2312" w:cs="Times New Roman"/>
                <w:color w:val="000000"/>
                <w:sz w:val="24"/>
              </w:rPr>
              <w:t>卫星导航定位基准站的建设和运行维护不符合国家标准、要求</w:t>
            </w:r>
            <w:r>
              <w:rPr>
                <w:rFonts w:hint="eastAsia" w:ascii="仿宋_GB2312" w:hAnsi="Times New Roman" w:eastAsia="仿宋_GB2312" w:cs="Times New Roman"/>
                <w:color w:val="000000"/>
                <w:sz w:val="24"/>
                <w:lang w:val="en-US" w:eastAsia="zh-CN"/>
              </w:rPr>
              <w:t>的行为的行政处罚</w:t>
            </w:r>
          </w:p>
        </w:tc>
        <w:tc>
          <w:tcPr>
            <w:tcW w:w="1059" w:type="dxa"/>
            <w:vAlign w:val="center"/>
          </w:tcPr>
          <w:p>
            <w:pPr>
              <w:jc w:val="center"/>
              <w:rPr>
                <w:rFonts w:hint="eastAsia"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440212</w:t>
            </w:r>
          </w:p>
          <w:p>
            <w:pPr>
              <w:jc w:val="center"/>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073000</w:t>
            </w:r>
          </w:p>
        </w:tc>
        <w:tc>
          <w:tcPr>
            <w:tcW w:w="4865" w:type="dxa"/>
            <w:vAlign w:val="center"/>
          </w:tcPr>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【法律】</w:t>
            </w:r>
          </w:p>
          <w:p>
            <w:pPr>
              <w:rPr>
                <w:rFonts w:ascii="仿宋_GB2312" w:hAnsi="Times New Roman" w:eastAsia="仿宋_GB2312" w:cs="Times New Roman"/>
                <w:color w:val="000000"/>
                <w:sz w:val="24"/>
              </w:rPr>
            </w:pPr>
            <w:r>
              <w:rPr>
                <w:rFonts w:ascii="仿宋_GB2312" w:hAnsi="Times New Roman" w:eastAsia="仿宋_GB2312" w:cs="Times New Roman"/>
                <w:color w:val="000000"/>
                <w:sz w:val="24"/>
              </w:rPr>
              <w:t>1.《测绘法》（2017年修订）</w:t>
            </w:r>
            <w:r>
              <w:rPr>
                <w:rFonts w:hint="eastAsia" w:ascii="仿宋_GB2312" w:hAnsi="Times New Roman" w:eastAsia="仿宋_GB2312" w:cs="Times New Roman"/>
                <w:color w:val="000000"/>
                <w:sz w:val="24"/>
                <w:lang w:val="en-US" w:eastAsia="zh-CN"/>
              </w:rPr>
              <w:t>第十四条、</w:t>
            </w:r>
            <w:r>
              <w:rPr>
                <w:rFonts w:ascii="仿宋_GB2312" w:hAnsi="Times New Roman" w:eastAsia="仿宋_GB2312" w:cs="Times New Roman"/>
                <w:color w:val="000000"/>
                <w:sz w:val="24"/>
              </w:rPr>
              <w:t>第五十四条</w:t>
            </w:r>
          </w:p>
        </w:tc>
        <w:tc>
          <w:tcPr>
            <w:tcW w:w="2393"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lang w:eastAsia="zh-CN"/>
              </w:rPr>
              <w:t>积极配合查处工作，主动停止违法行为，主动采取措施消除或减轻危害后果，</w:t>
            </w:r>
            <w:r>
              <w:rPr>
                <w:rFonts w:hint="eastAsia" w:ascii="仿宋_GB2312" w:hAnsi="Times New Roman" w:eastAsia="仿宋_GB2312" w:cs="Times New Roman"/>
                <w:color w:val="000000"/>
                <w:sz w:val="24"/>
              </w:rPr>
              <w:t>及时改正，积极采取改进基准站、拆除基准站、或者销毁测绘成果等措施</w:t>
            </w:r>
          </w:p>
        </w:tc>
        <w:tc>
          <w:tcPr>
            <w:tcW w:w="1594"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《行政处罚法》（2021年修订）第三十二条</w:t>
            </w:r>
          </w:p>
        </w:tc>
        <w:tc>
          <w:tcPr>
            <w:tcW w:w="1286"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处30万元以下罚款</w:t>
            </w:r>
          </w:p>
        </w:tc>
        <w:tc>
          <w:tcPr>
            <w:tcW w:w="1448" w:type="dxa"/>
            <w:vAlign w:val="center"/>
          </w:tcPr>
          <w:p>
            <w:pPr>
              <w:rPr>
                <w:rFonts w:ascii="仿宋_GB2312" w:hAnsi="Times New Roman" w:eastAsia="仿宋_GB2312" w:cs="Times New Roman"/>
                <w:color w:val="000000"/>
                <w:sz w:val="24"/>
              </w:rPr>
            </w:pPr>
            <w:r>
              <w:rPr>
                <w:rFonts w:hint="eastAsia" w:ascii="仿宋_GB2312" w:hAnsi="Times New Roman" w:eastAsia="仿宋_GB2312" w:cs="Times New Roman"/>
                <w:color w:val="000000"/>
                <w:sz w:val="24"/>
              </w:rPr>
              <w:t>加强教育、及时复查</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Times New Roman" w:eastAsia="仿宋_GB2312" w:cs="Times New Roman"/>
          <w:color w:val="000000"/>
          <w:sz w:val="24"/>
          <w:lang w:val="en-US" w:eastAsia="zh-CN"/>
        </w:rPr>
      </w:pPr>
      <w:r>
        <w:rPr>
          <w:rFonts w:hint="eastAsia" w:ascii="仿宋_GB2312" w:hAnsi="Times New Roman" w:eastAsia="仿宋_GB2312" w:cs="Times New Roman"/>
          <w:color w:val="000000"/>
          <w:sz w:val="24"/>
          <w:lang w:val="en-US" w:eastAsia="zh-CN"/>
        </w:rPr>
        <w:t>注：除本清单列举事项之外，符合《广东省自然资源行政处罚自由裁量权实施办法》第九条、第十条规定的不予处罚、从轻或者减轻处罚情形的，依法不予处罚、从轻或者减轻处罚。</w:t>
      </w:r>
    </w:p>
    <w:sectPr>
      <w:footerReference r:id="rId3" w:type="default"/>
      <w:pgSz w:w="16838" w:h="11906" w:orient="landscape"/>
      <w:pgMar w:top="1021" w:right="1077" w:bottom="1021" w:left="107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ZDNjMTFiOTc2ZjQ2ZWUxNzNhNGFiMTg5NzZmODMifQ=="/>
  </w:docVars>
  <w:rsids>
    <w:rsidRoot w:val="489C6D45"/>
    <w:rsid w:val="00054456"/>
    <w:rsid w:val="000628F7"/>
    <w:rsid w:val="00220E94"/>
    <w:rsid w:val="002806AD"/>
    <w:rsid w:val="002A6B1E"/>
    <w:rsid w:val="003427E1"/>
    <w:rsid w:val="003B07E8"/>
    <w:rsid w:val="003C6B75"/>
    <w:rsid w:val="00435004"/>
    <w:rsid w:val="004622B8"/>
    <w:rsid w:val="004A0560"/>
    <w:rsid w:val="0056144A"/>
    <w:rsid w:val="005B67C4"/>
    <w:rsid w:val="006429A9"/>
    <w:rsid w:val="00C43189"/>
    <w:rsid w:val="00CB45A9"/>
    <w:rsid w:val="00D2572F"/>
    <w:rsid w:val="00DF5F54"/>
    <w:rsid w:val="00E52C5D"/>
    <w:rsid w:val="00E86E09"/>
    <w:rsid w:val="00ED4146"/>
    <w:rsid w:val="00F526CA"/>
    <w:rsid w:val="01D57433"/>
    <w:rsid w:val="05C11F2E"/>
    <w:rsid w:val="0FE10CF7"/>
    <w:rsid w:val="0FEF7C96"/>
    <w:rsid w:val="12056F14"/>
    <w:rsid w:val="125C71A2"/>
    <w:rsid w:val="132868F4"/>
    <w:rsid w:val="1833261C"/>
    <w:rsid w:val="19C33717"/>
    <w:rsid w:val="1A794CEA"/>
    <w:rsid w:val="1CDD20D3"/>
    <w:rsid w:val="1E6765EE"/>
    <w:rsid w:val="1F27AFC7"/>
    <w:rsid w:val="21351C34"/>
    <w:rsid w:val="282912E0"/>
    <w:rsid w:val="2B3F6237"/>
    <w:rsid w:val="2BD703BE"/>
    <w:rsid w:val="2E9D8AA7"/>
    <w:rsid w:val="30A9101A"/>
    <w:rsid w:val="31554F0E"/>
    <w:rsid w:val="32CE2E94"/>
    <w:rsid w:val="35237360"/>
    <w:rsid w:val="38FC3089"/>
    <w:rsid w:val="391151EF"/>
    <w:rsid w:val="3AD667DF"/>
    <w:rsid w:val="3B631B62"/>
    <w:rsid w:val="3D7547B0"/>
    <w:rsid w:val="3FD01CFE"/>
    <w:rsid w:val="40846392"/>
    <w:rsid w:val="45732F87"/>
    <w:rsid w:val="489C6D45"/>
    <w:rsid w:val="48C83A1D"/>
    <w:rsid w:val="497C7D2B"/>
    <w:rsid w:val="4B136938"/>
    <w:rsid w:val="4BE00A68"/>
    <w:rsid w:val="4DBB246B"/>
    <w:rsid w:val="4DBDE279"/>
    <w:rsid w:val="4DF76D31"/>
    <w:rsid w:val="4E3E42DB"/>
    <w:rsid w:val="4EA10F5B"/>
    <w:rsid w:val="4F8FBBB7"/>
    <w:rsid w:val="53AE130E"/>
    <w:rsid w:val="54126B22"/>
    <w:rsid w:val="5634013B"/>
    <w:rsid w:val="59F60752"/>
    <w:rsid w:val="5AE024B3"/>
    <w:rsid w:val="5B06161A"/>
    <w:rsid w:val="5BF3F5DB"/>
    <w:rsid w:val="5D73EB0F"/>
    <w:rsid w:val="5DB441EB"/>
    <w:rsid w:val="5FAF8891"/>
    <w:rsid w:val="5FEB447C"/>
    <w:rsid w:val="5FFF3B57"/>
    <w:rsid w:val="60D65B4E"/>
    <w:rsid w:val="637E923A"/>
    <w:rsid w:val="667475E3"/>
    <w:rsid w:val="681720A1"/>
    <w:rsid w:val="69644429"/>
    <w:rsid w:val="6967948E"/>
    <w:rsid w:val="69F50189"/>
    <w:rsid w:val="6AF61F85"/>
    <w:rsid w:val="6BEFC759"/>
    <w:rsid w:val="6CDF7B6E"/>
    <w:rsid w:val="6D10785B"/>
    <w:rsid w:val="6D5C3619"/>
    <w:rsid w:val="6DB225B5"/>
    <w:rsid w:val="6F235619"/>
    <w:rsid w:val="6F7FAA52"/>
    <w:rsid w:val="6FCCC432"/>
    <w:rsid w:val="74780E9B"/>
    <w:rsid w:val="753DB783"/>
    <w:rsid w:val="75AE2995"/>
    <w:rsid w:val="76DE0256"/>
    <w:rsid w:val="76F01803"/>
    <w:rsid w:val="76FD4025"/>
    <w:rsid w:val="775F5CFD"/>
    <w:rsid w:val="77DC1E4A"/>
    <w:rsid w:val="77FF41BC"/>
    <w:rsid w:val="7A9E57BE"/>
    <w:rsid w:val="7AFE24C2"/>
    <w:rsid w:val="7F794F39"/>
    <w:rsid w:val="7F99257B"/>
    <w:rsid w:val="7FCBAC84"/>
    <w:rsid w:val="7FD41584"/>
    <w:rsid w:val="7FF7721E"/>
    <w:rsid w:val="7FFB9DDE"/>
    <w:rsid w:val="7FFFBBF5"/>
    <w:rsid w:val="8B7B0B20"/>
    <w:rsid w:val="8EF89037"/>
    <w:rsid w:val="9FDBD216"/>
    <w:rsid w:val="9FDF22AF"/>
    <w:rsid w:val="A767C6FA"/>
    <w:rsid w:val="AFEF12A9"/>
    <w:rsid w:val="BB9F0A90"/>
    <w:rsid w:val="BD7E508A"/>
    <w:rsid w:val="BDF73897"/>
    <w:rsid w:val="BFF918AC"/>
    <w:rsid w:val="BFFF775E"/>
    <w:rsid w:val="C5FF56F6"/>
    <w:rsid w:val="D5EFFE31"/>
    <w:rsid w:val="D7BF3952"/>
    <w:rsid w:val="DF1F1764"/>
    <w:rsid w:val="DFF38E79"/>
    <w:rsid w:val="DFFF4CDD"/>
    <w:rsid w:val="DFFFAD3C"/>
    <w:rsid w:val="E5FFE619"/>
    <w:rsid w:val="E7BBBE98"/>
    <w:rsid w:val="EB3F7952"/>
    <w:rsid w:val="EF5DBBE3"/>
    <w:rsid w:val="EF97CFE1"/>
    <w:rsid w:val="EFF7762A"/>
    <w:rsid w:val="F3FFCDF7"/>
    <w:rsid w:val="F6E2BF14"/>
    <w:rsid w:val="F7DF5369"/>
    <w:rsid w:val="F7F6AA91"/>
    <w:rsid w:val="F9FF6319"/>
    <w:rsid w:val="FA676BEA"/>
    <w:rsid w:val="FBAF3AC4"/>
    <w:rsid w:val="FDFACAC1"/>
    <w:rsid w:val="FEA20A9E"/>
    <w:rsid w:val="FEFFF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9000</Words>
  <Characters>9986</Characters>
  <Lines>65</Lines>
  <Paragraphs>18</Paragraphs>
  <TotalTime>26</TotalTime>
  <ScaleCrop>false</ScaleCrop>
  <LinksUpToDate>false</LinksUpToDate>
  <CharactersWithSpaces>10021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2022-04-12T19:31:00Z</dcterms:created>
  <dc:creator>雷雪怡</dc:creator>
  <cp:lastModifiedBy>0o菲茵o0</cp:lastModifiedBy>
  <cp:lastPrinted>2022-12-14T01:10:00Z</cp:lastPrinted>
  <dcterms:modified xsi:type="dcterms:W3CDTF">2023-01-11T02:21:17Z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DBE1CB6729924A8ABC2C842FC790E39D</vt:lpwstr>
  </property>
</Properties>
</file>