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val="en-US" w:eastAsia="zh-CN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</w:t>
      </w:r>
    </w:p>
    <w:p>
      <w:pPr>
        <w:jc w:val="center"/>
        <w:rPr>
          <w:rFonts w:hint="eastAsia" w:ascii="Calibri" w:eastAsia="宋体"/>
          <w:sz w:val="21"/>
          <w:szCs w:val="21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2023年省级财政专项资金目录清单</w:t>
      </w:r>
      <w:r>
        <w:t xml:space="preserve"> </w:t>
      </w:r>
    </w:p>
    <w:p>
      <w:pPr>
        <w:jc w:val="left"/>
      </w:pPr>
      <w:r>
        <w:rPr>
          <w:rFonts w:hint="eastAsia" w:ascii="宋体" w:hAnsi="宋体"/>
        </w:rPr>
        <w:t>主管部门：</w:t>
      </w:r>
      <w:r>
        <w:rPr>
          <w:rFonts w:hint="eastAsia" w:ascii="宋体" w:hAnsi="宋体"/>
          <w:lang w:eastAsia="zh-CN"/>
        </w:rPr>
        <w:t>河源市</w:t>
      </w:r>
      <w:r>
        <w:rPr>
          <w:rFonts w:hint="eastAsia" w:ascii="宋体" w:hAnsi="宋体"/>
        </w:rPr>
        <w:t>市场监督管理局</w:t>
      </w:r>
      <w:r>
        <w:rPr>
          <w:rFonts w:hint="eastAsia"/>
        </w:rPr>
        <w:t xml:space="preserve">                                       </w:t>
      </w:r>
      <w:r>
        <w:rPr>
          <w:rFonts w:hint="eastAsia" w:ascii="宋体" w:hAnsi="宋体"/>
        </w:rPr>
        <w:t>单位：万元</w:t>
      </w:r>
      <w:r>
        <w:rPr>
          <w:rFonts w:hint="eastAsia"/>
        </w:rPr>
        <w:t xml:space="preserve"> </w:t>
      </w:r>
    </w:p>
    <w:tbl>
      <w:tblPr>
        <w:tblStyle w:val="2"/>
        <w:tblW w:w="12654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586"/>
        <w:gridCol w:w="739"/>
        <w:gridCol w:w="3852"/>
        <w:gridCol w:w="4321"/>
        <w:gridCol w:w="1170"/>
        <w:gridCol w:w="735"/>
      </w:tblGrid>
      <w:tr>
        <w:trPr>
          <w:trHeight w:val="342" w:hRule="atLeast"/>
          <w:tblHeader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专项资金名称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财政事权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政策任务</w:t>
            </w:r>
          </w:p>
        </w:tc>
        <w:tc>
          <w:tcPr>
            <w:tcW w:w="38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主要用途</w:t>
            </w:r>
          </w:p>
        </w:tc>
        <w:tc>
          <w:tcPr>
            <w:tcW w:w="43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绩效目标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资金额度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备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（战略领域名称）</w:t>
            </w: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促进经济高质量发展专项资金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市场监督管理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知识产权工作</w:t>
            </w:r>
          </w:p>
        </w:tc>
        <w:tc>
          <w:tcPr>
            <w:tcW w:w="3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推动知识产权“放管服”改革和区域布局、知识产权高质量发展、严格知识产权保护、知识产权高效运用、建立便民利民的知识产权公共服务体系、知识产权省部共建等方向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加快完善知识产权保护体系，提升知识产权行政裁决效能，加强知识产权纠纷多元化解决，加强知识产权保护协作，提升基层知识产权保护能力，加强重点领域、关键环节知识产权保护，加强地理标志产品保护，加强知识产权海外维权援助工作。</w:t>
            </w:r>
          </w:p>
        </w:tc>
        <w:tc>
          <w:tcPr>
            <w:tcW w:w="4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深化知识产权领域“放管服”改革，全面提升知识产权创造质量、保护效果、运用效益、管理水平、服务能力和国际影响力，加快建设引领型知识产权强省。激励创新，促进知识产权高质量创造、高效率运用及全链条保护，为广东创新发展提供支撑。完成2023年度国家和省委、省政府知识产权保护工作各项工作部署，加快完善知识产权保护体系，提升知识产权行政裁决效能，加强知识产权纠纷多元化解决，加强知识产权保护协作，加强重点领域、关键环节知识产权保护，加强地理标志产品保护，提升知识产权保护资金使用绩效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472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73F1F"/>
    <w:rsid w:val="0D1562B7"/>
    <w:rsid w:val="20C31727"/>
    <w:rsid w:val="24B4524D"/>
    <w:rsid w:val="34B73F1F"/>
    <w:rsid w:val="3D4627D4"/>
    <w:rsid w:val="42EC6160"/>
    <w:rsid w:val="5404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河源市质监局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2023-01-17T09:35:00Z</dcterms:created>
  <dc:creator>Administrator</dc:creator>
  <cp:lastModifiedBy>Administrator</cp:lastModifiedBy>
  <dcterms:modified xsi:type="dcterms:W3CDTF">2023-02-02T03:32:36Z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