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r>
        <w:rPr>
          <w:b/>
          <w:sz w:val="44"/>
          <w:szCs w:val="44"/>
        </w:rPr>
        <w:t>在建工程抵押合同备案办理指南</w:t>
      </w:r>
    </w:p>
    <w:p>
      <w:pPr>
        <w:jc w:val="left"/>
        <w:rPr>
          <w:rFonts w:hint="eastAsia"/>
          <w:sz w:val="32"/>
          <w:szCs w:val="32"/>
        </w:rPr>
      </w:pPr>
    </w:p>
    <w:p>
      <w:pPr>
        <w:ind w:firstLine="643" w:firstLineChars="200"/>
        <w:jc w:val="left"/>
        <w:rPr>
          <w:rFonts w:hint="eastAsia"/>
          <w:b/>
          <w:sz w:val="32"/>
          <w:szCs w:val="32"/>
        </w:rPr>
      </w:pPr>
      <w:r>
        <w:rPr>
          <w:rFonts w:hint="eastAsia"/>
          <w:b/>
          <w:sz w:val="32"/>
          <w:szCs w:val="32"/>
        </w:rPr>
        <w:t>一、事项名称</w:t>
      </w:r>
    </w:p>
    <w:p>
      <w:pPr>
        <w:ind w:firstLine="640" w:firstLineChars="200"/>
        <w:jc w:val="left"/>
        <w:rPr>
          <w:rFonts w:hint="eastAsia"/>
          <w:sz w:val="32"/>
          <w:szCs w:val="32"/>
        </w:rPr>
      </w:pPr>
      <w:r>
        <w:rPr>
          <w:rFonts w:hint="eastAsia"/>
          <w:sz w:val="32"/>
          <w:szCs w:val="32"/>
        </w:rPr>
        <w:t>在建工程抵押合同备案</w:t>
      </w:r>
    </w:p>
    <w:p>
      <w:pPr>
        <w:ind w:firstLine="643" w:firstLineChars="200"/>
        <w:jc w:val="left"/>
        <w:rPr>
          <w:rFonts w:hint="eastAsia"/>
          <w:b/>
          <w:sz w:val="32"/>
          <w:szCs w:val="32"/>
        </w:rPr>
      </w:pPr>
      <w:r>
        <w:rPr>
          <w:rFonts w:hint="eastAsia"/>
          <w:b/>
          <w:sz w:val="32"/>
          <w:szCs w:val="32"/>
        </w:rPr>
        <w:t>二、受理范围</w:t>
      </w:r>
    </w:p>
    <w:p>
      <w:pPr>
        <w:ind w:firstLine="640" w:firstLineChars="200"/>
        <w:jc w:val="left"/>
        <w:rPr>
          <w:rFonts w:hint="eastAsia"/>
          <w:sz w:val="32"/>
          <w:szCs w:val="32"/>
        </w:rPr>
      </w:pPr>
      <w:r>
        <w:rPr>
          <w:rFonts w:hint="eastAsia"/>
          <w:sz w:val="32"/>
          <w:szCs w:val="32"/>
        </w:rPr>
        <w:t>河源市区行政</w:t>
      </w:r>
      <w:r>
        <w:rPr>
          <w:rFonts w:hint="eastAsia"/>
          <w:sz w:val="32"/>
          <w:szCs w:val="32"/>
          <w:lang w:val="en-US" w:eastAsia="zh-CN"/>
        </w:rPr>
        <w:t>区域内新建商品房</w:t>
      </w:r>
      <w:r>
        <w:rPr>
          <w:rFonts w:hint="eastAsia"/>
          <w:sz w:val="32"/>
          <w:szCs w:val="32"/>
        </w:rPr>
        <w:t>在建工程。</w:t>
      </w:r>
    </w:p>
    <w:p>
      <w:pPr>
        <w:ind w:firstLine="643" w:firstLineChars="200"/>
        <w:jc w:val="left"/>
        <w:rPr>
          <w:rFonts w:hint="eastAsia"/>
          <w:b/>
          <w:sz w:val="32"/>
          <w:szCs w:val="32"/>
        </w:rPr>
      </w:pPr>
      <w:r>
        <w:rPr>
          <w:rFonts w:hint="eastAsia"/>
          <w:b/>
          <w:sz w:val="32"/>
          <w:szCs w:val="32"/>
        </w:rPr>
        <w:t>三、备案依据</w:t>
      </w:r>
    </w:p>
    <w:p>
      <w:pPr>
        <w:ind w:firstLine="640" w:firstLineChars="200"/>
        <w:rPr>
          <w:rFonts w:hint="eastAsia" w:eastAsiaTheme="minorEastAsia"/>
          <w:sz w:val="32"/>
          <w:szCs w:val="32"/>
          <w:lang w:val="en-US" w:eastAsia="zh-CN"/>
        </w:rPr>
      </w:pPr>
      <w:r>
        <w:rPr>
          <w:rFonts w:hint="eastAsia"/>
          <w:sz w:val="32"/>
          <w:szCs w:val="32"/>
          <w:lang w:val="en-US" w:eastAsia="zh-CN"/>
        </w:rPr>
        <w:t>1、《城市房地产抵押管理办法》（2021年3月30日修正）</w:t>
      </w:r>
    </w:p>
    <w:p>
      <w:pPr>
        <w:ind w:firstLine="640" w:firstLineChars="200"/>
        <w:rPr>
          <w:rFonts w:hint="eastAsia"/>
          <w:sz w:val="32"/>
          <w:szCs w:val="32"/>
        </w:rPr>
      </w:pPr>
      <w:r>
        <w:rPr>
          <w:rFonts w:hint="eastAsia"/>
          <w:sz w:val="32"/>
          <w:szCs w:val="32"/>
          <w:lang w:val="en-US" w:eastAsia="zh-CN"/>
        </w:rPr>
        <w:t>2、</w:t>
      </w:r>
      <w:r>
        <w:rPr>
          <w:sz w:val="32"/>
          <w:szCs w:val="32"/>
        </w:rPr>
        <w:t>《住房和城乡建设部关于进一步规范和加强房屋网签备案工作的指导意见》（建房〔2018〕128号）</w:t>
      </w:r>
    </w:p>
    <w:p>
      <w:pPr>
        <w:ind w:firstLine="640" w:firstLineChars="200"/>
        <w:rPr>
          <w:rFonts w:hint="eastAsia"/>
          <w:sz w:val="32"/>
          <w:szCs w:val="32"/>
        </w:rPr>
      </w:pPr>
      <w:r>
        <w:rPr>
          <w:rFonts w:hint="eastAsia"/>
          <w:sz w:val="32"/>
          <w:szCs w:val="32"/>
          <w:lang w:val="en-US" w:eastAsia="zh-CN"/>
        </w:rPr>
        <w:t>3、</w:t>
      </w:r>
      <w:r>
        <w:rPr>
          <w:sz w:val="32"/>
          <w:szCs w:val="32"/>
        </w:rPr>
        <w:t>《住房和城乡建设部关于印发房屋交易合同网签备案业务规范（试行）的通知》（建房规〔2019〕5号）</w:t>
      </w:r>
    </w:p>
    <w:p>
      <w:pPr>
        <w:snapToGrid w:val="0"/>
        <w:spacing w:line="580" w:lineRule="exact"/>
        <w:ind w:firstLine="643" w:firstLineChars="200"/>
        <w:rPr>
          <w:rFonts w:hint="eastAsia" w:ascii="仿宋_GB2312" w:hAnsi="仿宋_GB2312"/>
          <w:b/>
          <w:color w:val="333333"/>
          <w:sz w:val="32"/>
          <w:szCs w:val="32"/>
        </w:rPr>
      </w:pPr>
      <w:r>
        <w:rPr>
          <w:rFonts w:hint="eastAsia" w:ascii="仿宋_GB2312" w:hAnsi="仿宋_GB2312"/>
          <w:b/>
          <w:color w:val="333333"/>
          <w:sz w:val="32"/>
          <w:szCs w:val="32"/>
        </w:rPr>
        <w:t>四、备案机构</w:t>
      </w:r>
    </w:p>
    <w:p>
      <w:pPr>
        <w:spacing w:line="580" w:lineRule="exact"/>
        <w:ind w:left="1918" w:leftChars="304" w:hanging="1280" w:hangingChars="400"/>
        <w:rPr>
          <w:rFonts w:hint="eastAsia" w:ascii="仿宋_GB2312" w:hAnsi="仿宋_GB2312"/>
          <w:color w:val="333333"/>
          <w:sz w:val="32"/>
          <w:szCs w:val="32"/>
        </w:rPr>
      </w:pPr>
      <w:r>
        <w:rPr>
          <w:rFonts w:hint="eastAsia" w:ascii="仿宋_GB2312" w:hAnsi="仿宋_GB2312"/>
          <w:color w:val="333333"/>
          <w:sz w:val="32"/>
          <w:szCs w:val="32"/>
        </w:rPr>
        <w:t>河源市住房和城乡建设局</w:t>
      </w:r>
    </w:p>
    <w:p>
      <w:pPr>
        <w:spacing w:line="580" w:lineRule="exact"/>
        <w:ind w:firstLine="643" w:firstLineChars="200"/>
        <w:rPr>
          <w:rFonts w:hint="eastAsia" w:ascii="仿宋_GB2312" w:hAnsi="仿宋_GB2312"/>
          <w:b/>
          <w:color w:val="333333"/>
          <w:sz w:val="32"/>
          <w:szCs w:val="32"/>
        </w:rPr>
      </w:pPr>
      <w:r>
        <w:rPr>
          <w:rFonts w:hint="eastAsia" w:ascii="仿宋_GB2312" w:hAnsi="仿宋_GB2312"/>
          <w:b/>
          <w:color w:val="333333"/>
          <w:sz w:val="32"/>
          <w:szCs w:val="32"/>
        </w:rPr>
        <w:t>五、受理地点及咨询电话</w:t>
      </w:r>
    </w:p>
    <w:p>
      <w:pPr>
        <w:spacing w:line="580" w:lineRule="exact"/>
        <w:ind w:left="1918" w:leftChars="304" w:hanging="1280" w:hangingChars="400"/>
        <w:rPr>
          <w:rFonts w:hint="eastAsia" w:ascii="仿宋_GB2312" w:hAnsi="仿宋_GB2312"/>
          <w:color w:val="333333"/>
          <w:sz w:val="32"/>
          <w:szCs w:val="32"/>
        </w:rPr>
      </w:pPr>
      <w:r>
        <w:rPr>
          <w:rFonts w:hint="eastAsia" w:ascii="仿宋_GB2312" w:hAnsi="仿宋_GB2312"/>
          <w:color w:val="333333"/>
          <w:sz w:val="32"/>
          <w:szCs w:val="32"/>
        </w:rPr>
        <w:t>受理地点：</w:t>
      </w:r>
    </w:p>
    <w:p>
      <w:pPr>
        <w:spacing w:line="580" w:lineRule="exact"/>
        <w:ind w:left="1918" w:leftChars="304" w:hanging="1280" w:hangingChars="400"/>
        <w:rPr>
          <w:rFonts w:hint="eastAsia" w:ascii="仿宋_GB2312" w:hAnsi="仿宋_GB2312"/>
          <w:color w:val="333333"/>
          <w:sz w:val="32"/>
          <w:szCs w:val="32"/>
        </w:rPr>
      </w:pPr>
      <w:r>
        <w:rPr>
          <w:rFonts w:hint="eastAsia" w:ascii="仿宋_GB2312" w:hAnsi="仿宋_GB2312"/>
          <w:color w:val="333333"/>
          <w:sz w:val="32"/>
          <w:szCs w:val="32"/>
        </w:rPr>
        <w:t>咨询电话：3829996</w:t>
      </w:r>
    </w:p>
    <w:p>
      <w:pPr>
        <w:spacing w:line="580" w:lineRule="exact"/>
        <w:ind w:left="1923" w:leftChars="304" w:hanging="1285" w:hangingChars="400"/>
        <w:rPr>
          <w:rFonts w:hint="eastAsia" w:ascii="仿宋_GB2312" w:hAnsi="仿宋_GB2312"/>
          <w:b/>
          <w:color w:val="333333"/>
          <w:sz w:val="32"/>
          <w:szCs w:val="32"/>
        </w:rPr>
      </w:pPr>
      <w:r>
        <w:rPr>
          <w:rFonts w:hint="eastAsia" w:ascii="仿宋_GB2312" w:hAnsi="仿宋_GB2312"/>
          <w:b/>
          <w:color w:val="333333"/>
          <w:sz w:val="32"/>
          <w:szCs w:val="32"/>
        </w:rPr>
        <w:t>六、办理流程图</w:t>
      </w:r>
    </w:p>
    <w:p>
      <w:pPr>
        <w:ind w:firstLine="630" w:firstLineChars="300"/>
        <w:rPr>
          <w:rFonts w:hint="eastAsia"/>
        </w:rPr>
      </w:pPr>
      <w:r>
        <w:drawing>
          <wp:inline distT="0" distB="0" distL="0" distR="0">
            <wp:extent cx="5399405" cy="667385"/>
            <wp:effectExtent l="57150" t="19050" r="29845" b="18220"/>
            <wp:docPr id="2"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ind w:firstLine="630" w:firstLineChars="300"/>
        <w:rPr>
          <w:rFonts w:hint="eastAsia"/>
        </w:rPr>
      </w:pPr>
    </w:p>
    <w:p>
      <w:pPr>
        <w:ind w:firstLine="960" w:firstLineChars="300"/>
        <w:rPr>
          <w:rFonts w:hint="eastAsia"/>
          <w:sz w:val="32"/>
          <w:szCs w:val="32"/>
        </w:rPr>
      </w:pPr>
      <w:r>
        <w:rPr>
          <w:rFonts w:hint="eastAsia"/>
          <w:sz w:val="32"/>
          <w:szCs w:val="32"/>
          <w:lang w:val="en-US" w:eastAsia="zh-CN"/>
        </w:rPr>
        <w:t>七</w:t>
      </w:r>
      <w:r>
        <w:rPr>
          <w:rFonts w:hint="eastAsia"/>
          <w:sz w:val="32"/>
          <w:szCs w:val="32"/>
        </w:rPr>
        <w:t>、合同备案条件</w:t>
      </w:r>
    </w:p>
    <w:p>
      <w:pPr>
        <w:ind w:firstLine="960" w:firstLineChars="300"/>
        <w:rPr>
          <w:rFonts w:hint="eastAsia" w:eastAsiaTheme="minorEastAsia"/>
          <w:sz w:val="32"/>
          <w:szCs w:val="32"/>
          <w:lang w:eastAsia="zh-CN"/>
        </w:rPr>
      </w:pPr>
      <w:r>
        <w:rPr>
          <w:rFonts w:hint="eastAsia"/>
          <w:sz w:val="32"/>
          <w:szCs w:val="32"/>
          <w:lang w:val="en-US" w:eastAsia="zh-CN"/>
        </w:rPr>
        <w:t>1、</w:t>
      </w:r>
      <w:r>
        <w:rPr>
          <w:rFonts w:hint="eastAsia"/>
          <w:sz w:val="32"/>
          <w:szCs w:val="32"/>
        </w:rPr>
        <w:t>已取得商品房预售许可证</w:t>
      </w:r>
      <w:r>
        <w:rPr>
          <w:rFonts w:hint="eastAsia"/>
          <w:sz w:val="32"/>
          <w:szCs w:val="32"/>
          <w:lang w:eastAsia="zh-CN"/>
        </w:rPr>
        <w:t>。</w:t>
      </w:r>
    </w:p>
    <w:p>
      <w:pPr>
        <w:ind w:firstLine="960" w:firstLineChars="300"/>
        <w:rPr>
          <w:rFonts w:hint="default"/>
          <w:b w:val="0"/>
          <w:bCs w:val="0"/>
          <w:sz w:val="32"/>
          <w:szCs w:val="32"/>
          <w:lang w:val="en-US" w:eastAsia="zh-CN"/>
        </w:rPr>
      </w:pPr>
      <w:r>
        <w:rPr>
          <w:rFonts w:hint="eastAsia"/>
          <w:b w:val="0"/>
          <w:bCs w:val="0"/>
          <w:sz w:val="32"/>
          <w:szCs w:val="32"/>
          <w:lang w:val="en-US" w:eastAsia="zh-CN"/>
        </w:rPr>
        <w:t>2、抵押人为主债务人（不得为他人债务担保）。</w:t>
      </w:r>
    </w:p>
    <w:p>
      <w:pPr>
        <w:ind w:firstLine="960" w:firstLineChars="300"/>
        <w:rPr>
          <w:rFonts w:hint="default"/>
          <w:b w:val="0"/>
          <w:bCs/>
          <w:sz w:val="32"/>
          <w:szCs w:val="32"/>
          <w:lang w:val="en-US" w:eastAsia="zh-CN"/>
        </w:rPr>
      </w:pPr>
      <w:r>
        <w:rPr>
          <w:rFonts w:hint="eastAsia"/>
          <w:b w:val="0"/>
          <w:bCs/>
          <w:sz w:val="32"/>
          <w:szCs w:val="32"/>
          <w:lang w:val="en-US" w:eastAsia="zh-CN"/>
        </w:rPr>
        <w:t>3、担保的贷款须用于在建工程继续建造。</w:t>
      </w:r>
    </w:p>
    <w:p>
      <w:pPr>
        <w:ind w:firstLine="960" w:firstLineChars="300"/>
        <w:rPr>
          <w:rFonts w:hint="eastAsia"/>
          <w:sz w:val="32"/>
          <w:szCs w:val="32"/>
        </w:rPr>
      </w:pPr>
      <w:r>
        <w:rPr>
          <w:rFonts w:hint="eastAsia"/>
          <w:sz w:val="32"/>
          <w:szCs w:val="32"/>
          <w:lang w:val="en-US" w:eastAsia="zh-CN"/>
        </w:rPr>
        <w:t>八</w:t>
      </w:r>
      <w:r>
        <w:rPr>
          <w:rFonts w:hint="eastAsia"/>
          <w:sz w:val="32"/>
          <w:szCs w:val="32"/>
        </w:rPr>
        <w:t>、申请材料</w:t>
      </w:r>
    </w:p>
    <w:p>
      <w:pPr>
        <w:ind w:firstLine="960" w:firstLineChars="300"/>
        <w:rPr>
          <w:rFonts w:hint="eastAsia" w:eastAsiaTheme="minorEastAsia"/>
          <w:sz w:val="32"/>
          <w:szCs w:val="32"/>
          <w:lang w:eastAsia="zh-CN"/>
        </w:rPr>
      </w:pPr>
      <w:r>
        <w:rPr>
          <w:rFonts w:hint="eastAsia"/>
          <w:sz w:val="32"/>
          <w:szCs w:val="32"/>
        </w:rPr>
        <w:t>1、在建工程合同备案申请</w:t>
      </w:r>
      <w:r>
        <w:rPr>
          <w:rFonts w:hint="eastAsia"/>
          <w:sz w:val="32"/>
          <w:szCs w:val="32"/>
          <w:lang w:eastAsia="zh-CN"/>
        </w:rPr>
        <w:t>。</w:t>
      </w:r>
    </w:p>
    <w:p>
      <w:pPr>
        <w:ind w:firstLine="960" w:firstLineChars="300"/>
        <w:rPr>
          <w:rFonts w:hint="eastAsia" w:eastAsiaTheme="minorEastAsia"/>
          <w:sz w:val="32"/>
          <w:szCs w:val="32"/>
          <w:lang w:eastAsia="zh-CN"/>
        </w:rPr>
      </w:pPr>
      <w:r>
        <w:rPr>
          <w:rFonts w:hint="eastAsia"/>
          <w:sz w:val="32"/>
          <w:szCs w:val="32"/>
        </w:rPr>
        <w:t>2、金融机构承诺将此款项进入预售资金专用监管账户的承诺书</w:t>
      </w:r>
      <w:r>
        <w:rPr>
          <w:rFonts w:hint="eastAsia"/>
          <w:sz w:val="32"/>
          <w:szCs w:val="32"/>
          <w:lang w:eastAsia="zh-CN"/>
        </w:rPr>
        <w:t>。</w:t>
      </w:r>
    </w:p>
    <w:p>
      <w:pPr>
        <w:ind w:firstLine="960" w:firstLineChars="300"/>
        <w:rPr>
          <w:rFonts w:hint="eastAsia" w:eastAsiaTheme="minorEastAsia"/>
          <w:sz w:val="32"/>
          <w:szCs w:val="32"/>
          <w:lang w:eastAsia="zh-CN"/>
        </w:rPr>
      </w:pPr>
      <w:r>
        <w:rPr>
          <w:rFonts w:hint="eastAsia"/>
          <w:sz w:val="32"/>
          <w:szCs w:val="32"/>
        </w:rPr>
        <w:t>3、市区商品房预售许可证</w:t>
      </w:r>
      <w:r>
        <w:rPr>
          <w:rFonts w:hint="eastAsia"/>
          <w:sz w:val="32"/>
          <w:szCs w:val="32"/>
          <w:lang w:eastAsia="zh-CN"/>
        </w:rPr>
        <w:t>。</w:t>
      </w:r>
    </w:p>
    <w:p>
      <w:pPr>
        <w:ind w:firstLine="960" w:firstLineChars="300"/>
        <w:rPr>
          <w:rFonts w:hint="eastAsia" w:eastAsiaTheme="minorEastAsia"/>
          <w:sz w:val="32"/>
          <w:szCs w:val="32"/>
          <w:lang w:eastAsia="zh-CN"/>
        </w:rPr>
      </w:pPr>
      <w:r>
        <w:rPr>
          <w:rFonts w:hint="eastAsia"/>
          <w:sz w:val="32"/>
          <w:szCs w:val="32"/>
        </w:rPr>
        <w:t>4、《主债权合同》《在建工程抵押贷款合同》</w:t>
      </w:r>
      <w:r>
        <w:rPr>
          <w:rFonts w:hint="eastAsia"/>
          <w:sz w:val="32"/>
          <w:szCs w:val="32"/>
          <w:lang w:eastAsia="zh-CN"/>
        </w:rPr>
        <w:t>。</w:t>
      </w:r>
    </w:p>
    <w:p>
      <w:pPr>
        <w:ind w:firstLine="960" w:firstLineChars="300"/>
        <w:rPr>
          <w:rFonts w:hint="eastAsia" w:eastAsiaTheme="minorEastAsia"/>
          <w:sz w:val="32"/>
          <w:szCs w:val="32"/>
          <w:lang w:eastAsia="zh-CN"/>
        </w:rPr>
      </w:pPr>
      <w:r>
        <w:rPr>
          <w:rFonts w:hint="eastAsia"/>
          <w:sz w:val="32"/>
          <w:szCs w:val="32"/>
        </w:rPr>
        <w:t>5、金融机构资质证书</w:t>
      </w:r>
      <w:r>
        <w:rPr>
          <w:rFonts w:hint="eastAsia"/>
          <w:sz w:val="32"/>
          <w:szCs w:val="32"/>
          <w:lang w:eastAsia="zh-CN"/>
        </w:rPr>
        <w:t>（</w:t>
      </w:r>
      <w:bookmarkStart w:id="0" w:name="_GoBack"/>
      <w:bookmarkEnd w:id="0"/>
      <w:r>
        <w:rPr>
          <w:rFonts w:hint="eastAsia"/>
          <w:sz w:val="32"/>
          <w:szCs w:val="32"/>
          <w:lang w:eastAsia="zh-CN"/>
        </w:rPr>
        <w:t>）。</w:t>
      </w:r>
    </w:p>
    <w:p>
      <w:pPr>
        <w:ind w:firstLine="960" w:firstLineChars="300"/>
        <w:rPr>
          <w:rFonts w:hint="eastAsia" w:eastAsiaTheme="minorEastAsia"/>
          <w:sz w:val="32"/>
          <w:szCs w:val="32"/>
          <w:lang w:eastAsia="zh-CN"/>
        </w:rPr>
      </w:pPr>
      <w:r>
        <w:rPr>
          <w:rFonts w:hint="eastAsia"/>
          <w:sz w:val="32"/>
          <w:szCs w:val="32"/>
        </w:rPr>
        <w:t>6、抵押物清单</w:t>
      </w:r>
      <w:r>
        <w:rPr>
          <w:rFonts w:hint="eastAsia"/>
          <w:sz w:val="32"/>
          <w:szCs w:val="32"/>
          <w:lang w:eastAsia="zh-CN"/>
        </w:rPr>
        <w:t>。</w:t>
      </w:r>
    </w:p>
    <w:p>
      <w:pPr>
        <w:ind w:firstLine="960" w:firstLineChars="300"/>
        <w:rPr>
          <w:rFonts w:hint="eastAsia" w:eastAsiaTheme="minorEastAsia"/>
          <w:sz w:val="32"/>
          <w:szCs w:val="32"/>
          <w:lang w:eastAsia="zh-CN"/>
        </w:rPr>
      </w:pPr>
      <w:r>
        <w:rPr>
          <w:rFonts w:hint="eastAsia"/>
          <w:sz w:val="32"/>
          <w:szCs w:val="32"/>
        </w:rPr>
        <w:t>7、在建工程抵押评估报告或抵押物价值确认书</w:t>
      </w:r>
      <w:r>
        <w:rPr>
          <w:rFonts w:hint="eastAsia"/>
          <w:sz w:val="32"/>
          <w:szCs w:val="32"/>
          <w:lang w:eastAsia="zh-CN"/>
        </w:rPr>
        <w:t>。</w:t>
      </w:r>
    </w:p>
    <w:p>
      <w:pPr>
        <w:ind w:firstLine="964" w:firstLineChars="300"/>
        <w:rPr>
          <w:rFonts w:hint="eastAsia"/>
          <w:b/>
          <w:sz w:val="32"/>
          <w:szCs w:val="32"/>
        </w:rPr>
      </w:pPr>
      <w:r>
        <w:rPr>
          <w:rFonts w:hint="eastAsia"/>
          <w:b/>
          <w:sz w:val="32"/>
          <w:szCs w:val="32"/>
        </w:rPr>
        <w:t>九、办理时限</w:t>
      </w:r>
    </w:p>
    <w:p>
      <w:pPr>
        <w:ind w:firstLine="960" w:firstLineChars="300"/>
        <w:rPr>
          <w:rFonts w:hint="eastAsia" w:eastAsiaTheme="minorEastAsia"/>
          <w:sz w:val="32"/>
          <w:szCs w:val="32"/>
          <w:lang w:eastAsia="zh-CN"/>
        </w:rPr>
      </w:pPr>
      <w:r>
        <w:rPr>
          <w:rFonts w:hint="eastAsia"/>
          <w:sz w:val="32"/>
          <w:szCs w:val="32"/>
        </w:rPr>
        <w:t>受理之日起5</w:t>
      </w:r>
      <w:r>
        <w:rPr>
          <w:rFonts w:hint="eastAsia"/>
          <w:sz w:val="32"/>
          <w:szCs w:val="32"/>
          <w:lang w:val="en-US" w:eastAsia="zh-CN"/>
        </w:rPr>
        <w:t>个</w:t>
      </w:r>
      <w:r>
        <w:rPr>
          <w:rFonts w:hint="eastAsia"/>
          <w:sz w:val="32"/>
          <w:szCs w:val="32"/>
        </w:rPr>
        <w:t>工作</w:t>
      </w:r>
      <w:r>
        <w:rPr>
          <w:rFonts w:hint="eastAsia"/>
          <w:sz w:val="32"/>
          <w:szCs w:val="32"/>
          <w:lang w:val="en-US" w:eastAsia="zh-CN"/>
        </w:rPr>
        <w:t>日</w:t>
      </w:r>
      <w:r>
        <w:rPr>
          <w:rFonts w:hint="eastAsia"/>
          <w:sz w:val="32"/>
          <w:szCs w:val="32"/>
        </w:rPr>
        <w:t>内</w:t>
      </w:r>
      <w:r>
        <w:rPr>
          <w:rFonts w:hint="eastAsia"/>
          <w:sz w:val="32"/>
          <w:szCs w:val="32"/>
          <w:lang w:eastAsia="zh-CN"/>
        </w:rPr>
        <w:t>。</w:t>
      </w:r>
    </w:p>
    <w:p>
      <w:pPr>
        <w:ind w:firstLine="630" w:firstLineChars="300"/>
        <w:rPr>
          <w:rFonts w:hint="eastAsia"/>
        </w:rPr>
      </w:pPr>
    </w:p>
    <w:p>
      <w:pPr>
        <w:ind w:firstLine="630" w:firstLineChars="300"/>
        <w:rPr>
          <w:rFonts w:hint="eastAsia"/>
        </w:rPr>
      </w:pPr>
    </w:p>
    <w:p>
      <w:pPr>
        <w:ind w:firstLine="630" w:firstLineChars="300"/>
        <w:rPr>
          <w:rFonts w:hint="eastAsia"/>
        </w:rPr>
      </w:pPr>
    </w:p>
    <w:p>
      <w:pPr>
        <w:ind w:firstLine="960" w:firstLineChars="300"/>
        <w:jc w:val="right"/>
        <w:rPr>
          <w:rFonts w:hint="eastAsia"/>
          <w:sz w:val="32"/>
          <w:szCs w:val="32"/>
        </w:rPr>
      </w:pPr>
      <w:r>
        <w:rPr>
          <w:sz w:val="32"/>
          <w:szCs w:val="32"/>
        </w:rPr>
        <w:t>河源市住房和城乡建设局</w:t>
      </w:r>
    </w:p>
    <w:p>
      <w:pPr>
        <w:ind w:right="320" w:firstLine="960" w:firstLineChars="300"/>
        <w:jc w:val="right"/>
        <w:rPr>
          <w:sz w:val="32"/>
          <w:szCs w:val="32"/>
        </w:rPr>
      </w:pPr>
      <w:r>
        <w:rPr>
          <w:rFonts w:hint="eastAsia"/>
          <w:sz w:val="32"/>
          <w:szCs w:val="32"/>
        </w:rPr>
        <w:t>2022年12月14日</w:t>
      </w: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gyNWJhMDRlMjE5OGM4Nzk0ODhjZTU5YTYzOTU5NjQifQ=="/>
  </w:docVars>
  <w:rsids>
    <w:rsidRoot w:val="00867550"/>
    <w:rsid w:val="000358E0"/>
    <w:rsid w:val="00084895"/>
    <w:rsid w:val="000A6A1F"/>
    <w:rsid w:val="000B1A1E"/>
    <w:rsid w:val="000B3384"/>
    <w:rsid w:val="000B4BBB"/>
    <w:rsid w:val="000B691A"/>
    <w:rsid w:val="000E2A20"/>
    <w:rsid w:val="000F1502"/>
    <w:rsid w:val="00105B62"/>
    <w:rsid w:val="0013298B"/>
    <w:rsid w:val="00181385"/>
    <w:rsid w:val="001D6D29"/>
    <w:rsid w:val="001E2AA7"/>
    <w:rsid w:val="001F6925"/>
    <w:rsid w:val="002021AE"/>
    <w:rsid w:val="00210FB7"/>
    <w:rsid w:val="00213C8C"/>
    <w:rsid w:val="00223605"/>
    <w:rsid w:val="002442BD"/>
    <w:rsid w:val="00252A20"/>
    <w:rsid w:val="00264C53"/>
    <w:rsid w:val="00271F19"/>
    <w:rsid w:val="002901EF"/>
    <w:rsid w:val="00293C2E"/>
    <w:rsid w:val="002A7816"/>
    <w:rsid w:val="002E65EE"/>
    <w:rsid w:val="00300973"/>
    <w:rsid w:val="00325EB4"/>
    <w:rsid w:val="00337F61"/>
    <w:rsid w:val="00354B8E"/>
    <w:rsid w:val="00370C4F"/>
    <w:rsid w:val="00390487"/>
    <w:rsid w:val="00397294"/>
    <w:rsid w:val="003B3867"/>
    <w:rsid w:val="003B5BC5"/>
    <w:rsid w:val="003F53E0"/>
    <w:rsid w:val="00416978"/>
    <w:rsid w:val="0042725E"/>
    <w:rsid w:val="00427423"/>
    <w:rsid w:val="00432747"/>
    <w:rsid w:val="0043645C"/>
    <w:rsid w:val="0047383D"/>
    <w:rsid w:val="00481928"/>
    <w:rsid w:val="00482C3C"/>
    <w:rsid w:val="004860DE"/>
    <w:rsid w:val="004B29C5"/>
    <w:rsid w:val="004B4A61"/>
    <w:rsid w:val="004C6E78"/>
    <w:rsid w:val="004E1BB6"/>
    <w:rsid w:val="00505C73"/>
    <w:rsid w:val="005124E8"/>
    <w:rsid w:val="005340B1"/>
    <w:rsid w:val="005352A6"/>
    <w:rsid w:val="00535AD5"/>
    <w:rsid w:val="00571099"/>
    <w:rsid w:val="00596EE1"/>
    <w:rsid w:val="005A64FC"/>
    <w:rsid w:val="0063456A"/>
    <w:rsid w:val="00640AC9"/>
    <w:rsid w:val="006467CB"/>
    <w:rsid w:val="006578C9"/>
    <w:rsid w:val="00671086"/>
    <w:rsid w:val="00673598"/>
    <w:rsid w:val="006B53B0"/>
    <w:rsid w:val="006C568A"/>
    <w:rsid w:val="006D127C"/>
    <w:rsid w:val="006E62BF"/>
    <w:rsid w:val="006F1C6C"/>
    <w:rsid w:val="006F3F8C"/>
    <w:rsid w:val="006F764F"/>
    <w:rsid w:val="00750442"/>
    <w:rsid w:val="00752536"/>
    <w:rsid w:val="00773AB5"/>
    <w:rsid w:val="007771D3"/>
    <w:rsid w:val="007907AD"/>
    <w:rsid w:val="007A7F2F"/>
    <w:rsid w:val="007B1D6C"/>
    <w:rsid w:val="007C0BD2"/>
    <w:rsid w:val="007D4A4E"/>
    <w:rsid w:val="007E3408"/>
    <w:rsid w:val="007F1183"/>
    <w:rsid w:val="008129BC"/>
    <w:rsid w:val="008246A2"/>
    <w:rsid w:val="00824981"/>
    <w:rsid w:val="00830F2B"/>
    <w:rsid w:val="008365D1"/>
    <w:rsid w:val="0083713F"/>
    <w:rsid w:val="008511CC"/>
    <w:rsid w:val="00863D43"/>
    <w:rsid w:val="00867550"/>
    <w:rsid w:val="00877B28"/>
    <w:rsid w:val="00877B77"/>
    <w:rsid w:val="008A111D"/>
    <w:rsid w:val="008A260C"/>
    <w:rsid w:val="008D2EE2"/>
    <w:rsid w:val="008F6CF4"/>
    <w:rsid w:val="00935546"/>
    <w:rsid w:val="00950FF9"/>
    <w:rsid w:val="00956088"/>
    <w:rsid w:val="00975B30"/>
    <w:rsid w:val="00986E5A"/>
    <w:rsid w:val="00996576"/>
    <w:rsid w:val="009A1832"/>
    <w:rsid w:val="009C1EF2"/>
    <w:rsid w:val="009C4FCE"/>
    <w:rsid w:val="009C5873"/>
    <w:rsid w:val="009E5B7F"/>
    <w:rsid w:val="009E6BC7"/>
    <w:rsid w:val="00A304BE"/>
    <w:rsid w:val="00A33E43"/>
    <w:rsid w:val="00A42568"/>
    <w:rsid w:val="00A6700A"/>
    <w:rsid w:val="00A77D5D"/>
    <w:rsid w:val="00A8251F"/>
    <w:rsid w:val="00AC6FFB"/>
    <w:rsid w:val="00AE32AA"/>
    <w:rsid w:val="00AF0886"/>
    <w:rsid w:val="00AF188D"/>
    <w:rsid w:val="00B026B4"/>
    <w:rsid w:val="00B445C8"/>
    <w:rsid w:val="00B461CF"/>
    <w:rsid w:val="00B50427"/>
    <w:rsid w:val="00B521E0"/>
    <w:rsid w:val="00B758B1"/>
    <w:rsid w:val="00B7755F"/>
    <w:rsid w:val="00BC1684"/>
    <w:rsid w:val="00BC620B"/>
    <w:rsid w:val="00BE54D3"/>
    <w:rsid w:val="00BF3D27"/>
    <w:rsid w:val="00C13E8E"/>
    <w:rsid w:val="00C168C1"/>
    <w:rsid w:val="00C24B2F"/>
    <w:rsid w:val="00C25AB5"/>
    <w:rsid w:val="00C25B40"/>
    <w:rsid w:val="00C276F8"/>
    <w:rsid w:val="00C27DB1"/>
    <w:rsid w:val="00C34372"/>
    <w:rsid w:val="00C45F99"/>
    <w:rsid w:val="00C515F9"/>
    <w:rsid w:val="00C6502F"/>
    <w:rsid w:val="00C67F2E"/>
    <w:rsid w:val="00CA5F54"/>
    <w:rsid w:val="00CA63FC"/>
    <w:rsid w:val="00CB51B1"/>
    <w:rsid w:val="00CB7855"/>
    <w:rsid w:val="00CC284E"/>
    <w:rsid w:val="00CC3C09"/>
    <w:rsid w:val="00CF6B86"/>
    <w:rsid w:val="00D07101"/>
    <w:rsid w:val="00D444D8"/>
    <w:rsid w:val="00D46DF1"/>
    <w:rsid w:val="00D57264"/>
    <w:rsid w:val="00D6125B"/>
    <w:rsid w:val="00D64D97"/>
    <w:rsid w:val="00D70E05"/>
    <w:rsid w:val="00D91F14"/>
    <w:rsid w:val="00DB76CD"/>
    <w:rsid w:val="00DC07E5"/>
    <w:rsid w:val="00DE132B"/>
    <w:rsid w:val="00DF698E"/>
    <w:rsid w:val="00DF7F24"/>
    <w:rsid w:val="00E13836"/>
    <w:rsid w:val="00E24C72"/>
    <w:rsid w:val="00E77C90"/>
    <w:rsid w:val="00EB2E62"/>
    <w:rsid w:val="00ED78C1"/>
    <w:rsid w:val="00F01085"/>
    <w:rsid w:val="00F21238"/>
    <w:rsid w:val="00F33667"/>
    <w:rsid w:val="00F41C8A"/>
    <w:rsid w:val="00F436B0"/>
    <w:rsid w:val="00F5404A"/>
    <w:rsid w:val="00FD395A"/>
    <w:rsid w:val="05844D1C"/>
    <w:rsid w:val="10275670"/>
    <w:rsid w:val="13004201"/>
    <w:rsid w:val="1DA642E1"/>
    <w:rsid w:val="2EE13AA5"/>
    <w:rsid w:val="2F0E4C7A"/>
    <w:rsid w:val="340A0459"/>
    <w:rsid w:val="3CC55D07"/>
    <w:rsid w:val="3CCA3E29"/>
    <w:rsid w:val="468A3B4C"/>
    <w:rsid w:val="69E77EE2"/>
    <w:rsid w:val="6BBD6184"/>
    <w:rsid w:val="6E5B550D"/>
    <w:rsid w:val="76D6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8A4D851-82BD-457C-9B89-C5B73AA9EE54}" type="doc">
      <dgm:prSet loTypeId="urn:microsoft.com/office/officeart/2005/8/layout/process1" loCatId="process" qsTypeId="urn:microsoft.com/office/officeart/2005/8/quickstyle/simple3" qsCatId="simple" csTypeId="urn:microsoft.com/office/officeart/2005/8/colors/accent1_2" csCatId="accent1" phldr="1"/>
      <dgm:spPr/>
    </dgm:pt>
    <dgm:pt modelId="{DB4A0B7D-29BC-43BF-BDC3-03E6B94B182E}">
      <dgm:prSet phldrT="[文本]"/>
      <dgm:spPr/>
      <dgm:t>
        <a:bodyPr/>
        <a:p>
          <a:r>
            <a:rPr lang="zh-CN" altLang="en-US"/>
            <a:t>金融机构申请</a:t>
          </a:r>
        </a:p>
      </dgm:t>
    </dgm:pt>
    <dgm:pt modelId="{2A3B3433-47C0-4A34-93E7-3F0182B5E850}" cxnId="{BEC95A05-BE39-4800-9B71-0ABB303B6EF4}" type="parTrans">
      <dgm:prSet/>
      <dgm:spPr/>
      <dgm:t>
        <a:bodyPr/>
        <a:p>
          <a:endParaRPr lang="zh-CN" altLang="en-US"/>
        </a:p>
      </dgm:t>
    </dgm:pt>
    <dgm:pt modelId="{54FC6F0A-62D8-466B-B2EC-F4123D718C88}" cxnId="{BEC95A05-BE39-4800-9B71-0ABB303B6EF4}" type="sibTrans">
      <dgm:prSet/>
      <dgm:spPr/>
      <dgm:t>
        <a:bodyPr/>
        <a:p>
          <a:endParaRPr lang="zh-CN" altLang="en-US"/>
        </a:p>
      </dgm:t>
    </dgm:pt>
    <dgm:pt modelId="{9E60C939-DEA1-42EE-A991-BAD3E94699F6}">
      <dgm:prSet phldrT="[文本]"/>
      <dgm:spPr/>
      <dgm:t>
        <a:bodyPr/>
        <a:p>
          <a:r>
            <a:rPr lang="zh-CN" altLang="en-US"/>
            <a:t>受理</a:t>
          </a:r>
        </a:p>
      </dgm:t>
    </dgm:pt>
    <dgm:pt modelId="{F40878C8-1616-4556-8908-BE6D7786995D}" cxnId="{40007400-824F-46C9-9652-9C67BD1F0CC6}" type="parTrans">
      <dgm:prSet/>
      <dgm:spPr/>
      <dgm:t>
        <a:bodyPr/>
        <a:p>
          <a:endParaRPr lang="zh-CN" altLang="en-US"/>
        </a:p>
      </dgm:t>
    </dgm:pt>
    <dgm:pt modelId="{367C9924-D534-4B5E-90B9-7A325574756C}" cxnId="{40007400-824F-46C9-9652-9C67BD1F0CC6}" type="sibTrans">
      <dgm:prSet/>
      <dgm:spPr/>
      <dgm:t>
        <a:bodyPr/>
        <a:p>
          <a:endParaRPr lang="zh-CN" altLang="en-US"/>
        </a:p>
      </dgm:t>
    </dgm:pt>
    <dgm:pt modelId="{465E0A72-579C-4C5E-AAE8-6ED92A174028}">
      <dgm:prSet phldrT="[文本]"/>
      <dgm:spPr/>
      <dgm:t>
        <a:bodyPr/>
        <a:p>
          <a:r>
            <a:rPr lang="zh-CN" altLang="en-US"/>
            <a:t>审核</a:t>
          </a:r>
        </a:p>
      </dgm:t>
    </dgm:pt>
    <dgm:pt modelId="{6B7ED81F-337E-4BA2-9D82-E40190B769B0}" cxnId="{933AAA7D-5051-4B54-97BA-C9D08E8CF695}" type="parTrans">
      <dgm:prSet/>
      <dgm:spPr/>
      <dgm:t>
        <a:bodyPr/>
        <a:p>
          <a:endParaRPr lang="zh-CN" altLang="en-US"/>
        </a:p>
      </dgm:t>
    </dgm:pt>
    <dgm:pt modelId="{E55FB80C-6FAC-4CBA-89A8-E83C5DA0C5CA}" cxnId="{933AAA7D-5051-4B54-97BA-C9D08E8CF695}" type="sibTrans">
      <dgm:prSet/>
      <dgm:spPr/>
      <dgm:t>
        <a:bodyPr/>
        <a:p>
          <a:endParaRPr lang="zh-CN" altLang="en-US"/>
        </a:p>
      </dgm:t>
    </dgm:pt>
    <dgm:pt modelId="{C49530E6-C0B1-458B-82E3-FEB0427A7EAD}">
      <dgm:prSet/>
      <dgm:spPr/>
      <dgm:t>
        <a:bodyPr/>
        <a:p>
          <a:r>
            <a:rPr lang="zh-CN" altLang="en-US"/>
            <a:t>核发备案证明</a:t>
          </a:r>
        </a:p>
      </dgm:t>
    </dgm:pt>
    <dgm:pt modelId="{95521CC5-45D0-41B4-AD68-D4F813943EBA}" cxnId="{66018CE0-6EEA-4A7A-A62C-933D5D095E3B}" type="parTrans">
      <dgm:prSet/>
      <dgm:spPr/>
      <dgm:t>
        <a:bodyPr/>
        <a:p>
          <a:endParaRPr lang="zh-CN" altLang="en-US"/>
        </a:p>
      </dgm:t>
    </dgm:pt>
    <dgm:pt modelId="{88353434-83F7-42B5-A466-8FC6CBAE9389}" cxnId="{66018CE0-6EEA-4A7A-A62C-933D5D095E3B}" type="sibTrans">
      <dgm:prSet/>
      <dgm:spPr/>
      <dgm:t>
        <a:bodyPr/>
        <a:p>
          <a:endParaRPr lang="zh-CN" altLang="en-US"/>
        </a:p>
      </dgm:t>
    </dgm:pt>
    <dgm:pt modelId="{C53C5328-44D4-4880-818A-03828CF23331}" type="pres">
      <dgm:prSet presAssocID="{88A4D851-82BD-457C-9B89-C5B73AA9EE54}" presName="Name0" presStyleCnt="0">
        <dgm:presLayoutVars>
          <dgm:dir/>
          <dgm:resizeHandles val="exact"/>
        </dgm:presLayoutVars>
      </dgm:prSet>
      <dgm:spPr/>
    </dgm:pt>
    <dgm:pt modelId="{77289444-3903-40D5-BF9B-540E1A28D252}" type="pres">
      <dgm:prSet presAssocID="{DB4A0B7D-29BC-43BF-BDC3-03E6B94B182E}" presName="node" presStyleLbl="node1" presStyleIdx="0" presStyleCnt="4">
        <dgm:presLayoutVars>
          <dgm:bulletEnabled val="1"/>
        </dgm:presLayoutVars>
      </dgm:prSet>
      <dgm:spPr/>
    </dgm:pt>
    <dgm:pt modelId="{4524967E-D98D-4A2F-A265-B92DEE435E82}" type="pres">
      <dgm:prSet presAssocID="{54FC6F0A-62D8-466B-B2EC-F4123D718C88}" presName="sibTrans" presStyleLbl="sibTrans2D1" presStyleIdx="0" presStyleCnt="3"/>
      <dgm:spPr/>
    </dgm:pt>
    <dgm:pt modelId="{D09CD561-80B3-40D0-B14F-48DBE12F8E23}" type="pres">
      <dgm:prSet presAssocID="{54FC6F0A-62D8-466B-B2EC-F4123D718C88}" presName="connectorText" presStyleLbl="sibTrans2D1" presStyleIdx="0" presStyleCnt="3"/>
      <dgm:spPr/>
    </dgm:pt>
    <dgm:pt modelId="{87D2CC28-FBF6-43D4-B710-5D9B7F0CEFA9}" type="pres">
      <dgm:prSet presAssocID="{9E60C939-DEA1-42EE-A991-BAD3E94699F6}" presName="node" presStyleLbl="node1" presStyleIdx="1" presStyleCnt="4">
        <dgm:presLayoutVars>
          <dgm:bulletEnabled val="1"/>
        </dgm:presLayoutVars>
      </dgm:prSet>
      <dgm:spPr/>
    </dgm:pt>
    <dgm:pt modelId="{E0BB9378-55A6-4122-A6A3-EA68D091E5D9}" type="pres">
      <dgm:prSet presAssocID="{367C9924-D534-4B5E-90B9-7A325574756C}" presName="sibTrans" presStyleLbl="sibTrans2D1" presStyleIdx="1" presStyleCnt="3"/>
      <dgm:spPr/>
    </dgm:pt>
    <dgm:pt modelId="{A7D2272F-FDC4-454B-8512-C75EEF6823CF}" type="pres">
      <dgm:prSet presAssocID="{367C9924-D534-4B5E-90B9-7A325574756C}" presName="connectorText" presStyleLbl="sibTrans2D1" presStyleIdx="1" presStyleCnt="3"/>
      <dgm:spPr/>
    </dgm:pt>
    <dgm:pt modelId="{7389F8DB-92A7-4039-A930-2ED6CC42437D}" type="pres">
      <dgm:prSet presAssocID="{465E0A72-579C-4C5E-AAE8-6ED92A174028}" presName="node" presStyleLbl="node1" presStyleIdx="2" presStyleCnt="4">
        <dgm:presLayoutVars>
          <dgm:bulletEnabled val="1"/>
        </dgm:presLayoutVars>
      </dgm:prSet>
      <dgm:spPr/>
    </dgm:pt>
    <dgm:pt modelId="{9C6D8AFB-D696-4F78-9464-C03EFF41D675}" type="pres">
      <dgm:prSet presAssocID="{E55FB80C-6FAC-4CBA-89A8-E83C5DA0C5CA}" presName="sibTrans" presStyleLbl="sibTrans2D1" presStyleIdx="2" presStyleCnt="3"/>
      <dgm:spPr/>
    </dgm:pt>
    <dgm:pt modelId="{AEFEA651-5333-4AAD-BCB4-90712EC99029}" type="pres">
      <dgm:prSet presAssocID="{E55FB80C-6FAC-4CBA-89A8-E83C5DA0C5CA}" presName="connectorText" presStyleLbl="sibTrans2D1" presStyleIdx="2" presStyleCnt="3"/>
      <dgm:spPr/>
    </dgm:pt>
    <dgm:pt modelId="{7DCAD75A-689C-438E-8E38-BBA0068B1E15}" type="pres">
      <dgm:prSet presAssocID="{C49530E6-C0B1-458B-82E3-FEB0427A7EAD}" presName="node" presStyleLbl="node1" presStyleIdx="3" presStyleCnt="4">
        <dgm:presLayoutVars>
          <dgm:bulletEnabled val="1"/>
        </dgm:presLayoutVars>
      </dgm:prSet>
      <dgm:spPr/>
      <dgm:t>
        <a:bodyPr/>
        <a:p>
          <a:endParaRPr lang="zh-CN" altLang="en-US"/>
        </a:p>
      </dgm:t>
    </dgm:pt>
  </dgm:ptLst>
  <dgm:cxnLst>
    <dgm:cxn modelId="{66018CE0-6EEA-4A7A-A62C-933D5D095E3B}" srcId="{88A4D851-82BD-457C-9B89-C5B73AA9EE54}" destId="{C49530E6-C0B1-458B-82E3-FEB0427A7EAD}" srcOrd="3" destOrd="0" parTransId="{95521CC5-45D0-41B4-AD68-D4F813943EBA}" sibTransId="{88353434-83F7-42B5-A466-8FC6CBAE9389}"/>
    <dgm:cxn modelId="{D3329EBE-0E97-4FFE-8D5F-9A02CA2BE3D6}" type="presOf" srcId="{54FC6F0A-62D8-466B-B2EC-F4123D718C88}" destId="{D09CD561-80B3-40D0-B14F-48DBE12F8E23}" srcOrd="1" destOrd="0" presId="urn:microsoft.com/office/officeart/2005/8/layout/process1"/>
    <dgm:cxn modelId="{40007400-824F-46C9-9652-9C67BD1F0CC6}" srcId="{88A4D851-82BD-457C-9B89-C5B73AA9EE54}" destId="{9E60C939-DEA1-42EE-A991-BAD3E94699F6}" srcOrd="1" destOrd="0" parTransId="{F40878C8-1616-4556-8908-BE6D7786995D}" sibTransId="{367C9924-D534-4B5E-90B9-7A325574756C}"/>
    <dgm:cxn modelId="{47B6BF2A-273A-4CF3-A559-8C5E1008C092}" type="presOf" srcId="{54FC6F0A-62D8-466B-B2EC-F4123D718C88}" destId="{4524967E-D98D-4A2F-A265-B92DEE435E82}" srcOrd="0" destOrd="0" presId="urn:microsoft.com/office/officeart/2005/8/layout/process1"/>
    <dgm:cxn modelId="{28413E9D-E2D5-437C-ADD4-057AB02222B1}" type="presOf" srcId="{C49530E6-C0B1-458B-82E3-FEB0427A7EAD}" destId="{7DCAD75A-689C-438E-8E38-BBA0068B1E15}" srcOrd="0" destOrd="0" presId="urn:microsoft.com/office/officeart/2005/8/layout/process1"/>
    <dgm:cxn modelId="{1FF29204-0C71-4A85-A27A-08EC7136CB8D}" type="presOf" srcId="{367C9924-D534-4B5E-90B9-7A325574756C}" destId="{A7D2272F-FDC4-454B-8512-C75EEF6823CF}" srcOrd="1" destOrd="0" presId="urn:microsoft.com/office/officeart/2005/8/layout/process1"/>
    <dgm:cxn modelId="{818BA89A-5086-4F76-BFB3-AB9F40576015}" type="presOf" srcId="{9E60C939-DEA1-42EE-A991-BAD3E94699F6}" destId="{87D2CC28-FBF6-43D4-B710-5D9B7F0CEFA9}" srcOrd="0" destOrd="0" presId="urn:microsoft.com/office/officeart/2005/8/layout/process1"/>
    <dgm:cxn modelId="{B1EBBBA8-9718-4F12-8FED-487E621B173D}" type="presOf" srcId="{367C9924-D534-4B5E-90B9-7A325574756C}" destId="{E0BB9378-55A6-4122-A6A3-EA68D091E5D9}" srcOrd="0" destOrd="0" presId="urn:microsoft.com/office/officeart/2005/8/layout/process1"/>
    <dgm:cxn modelId="{6CB198DE-5787-4747-82AB-F2F197A45243}" type="presOf" srcId="{88A4D851-82BD-457C-9B89-C5B73AA9EE54}" destId="{C53C5328-44D4-4880-818A-03828CF23331}" srcOrd="0" destOrd="0" presId="urn:microsoft.com/office/officeart/2005/8/layout/process1"/>
    <dgm:cxn modelId="{14CA2CEE-85AC-4EF8-BA89-9C1E528384CC}" type="presOf" srcId="{E55FB80C-6FAC-4CBA-89A8-E83C5DA0C5CA}" destId="{9C6D8AFB-D696-4F78-9464-C03EFF41D675}" srcOrd="0" destOrd="0" presId="urn:microsoft.com/office/officeart/2005/8/layout/process1"/>
    <dgm:cxn modelId="{BEC95A05-BE39-4800-9B71-0ABB303B6EF4}" srcId="{88A4D851-82BD-457C-9B89-C5B73AA9EE54}" destId="{DB4A0B7D-29BC-43BF-BDC3-03E6B94B182E}" srcOrd="0" destOrd="0" parTransId="{2A3B3433-47C0-4A34-93E7-3F0182B5E850}" sibTransId="{54FC6F0A-62D8-466B-B2EC-F4123D718C88}"/>
    <dgm:cxn modelId="{F6E596E1-7FC8-42DC-ADBF-551648A26472}" type="presOf" srcId="{E55FB80C-6FAC-4CBA-89A8-E83C5DA0C5CA}" destId="{AEFEA651-5333-4AAD-BCB4-90712EC99029}" srcOrd="1" destOrd="0" presId="urn:microsoft.com/office/officeart/2005/8/layout/process1"/>
    <dgm:cxn modelId="{70A420CE-39B7-4519-A9DE-1BBD61A84D44}" type="presOf" srcId="{465E0A72-579C-4C5E-AAE8-6ED92A174028}" destId="{7389F8DB-92A7-4039-A930-2ED6CC42437D}" srcOrd="0" destOrd="0" presId="urn:microsoft.com/office/officeart/2005/8/layout/process1"/>
    <dgm:cxn modelId="{933AAA7D-5051-4B54-97BA-C9D08E8CF695}" srcId="{88A4D851-82BD-457C-9B89-C5B73AA9EE54}" destId="{465E0A72-579C-4C5E-AAE8-6ED92A174028}" srcOrd="2" destOrd="0" parTransId="{6B7ED81F-337E-4BA2-9D82-E40190B769B0}" sibTransId="{E55FB80C-6FAC-4CBA-89A8-E83C5DA0C5CA}"/>
    <dgm:cxn modelId="{6EFEA866-5681-4B28-AA5B-1467D34E740C}" type="presOf" srcId="{DB4A0B7D-29BC-43BF-BDC3-03E6B94B182E}" destId="{77289444-3903-40D5-BF9B-540E1A28D252}" srcOrd="0" destOrd="0" presId="urn:microsoft.com/office/officeart/2005/8/layout/process1"/>
    <dgm:cxn modelId="{D4D37F10-EA03-4A01-9F32-20F146861D07}" type="presParOf" srcId="{C53C5328-44D4-4880-818A-03828CF23331}" destId="{77289444-3903-40D5-BF9B-540E1A28D252}" srcOrd="0" destOrd="0" presId="urn:microsoft.com/office/officeart/2005/8/layout/process1"/>
    <dgm:cxn modelId="{827E61CD-314A-48BC-AFD1-1FB56ED1013E}" type="presParOf" srcId="{C53C5328-44D4-4880-818A-03828CF23331}" destId="{4524967E-D98D-4A2F-A265-B92DEE435E82}" srcOrd="1" destOrd="0" presId="urn:microsoft.com/office/officeart/2005/8/layout/process1"/>
    <dgm:cxn modelId="{E9DD401C-3AC4-46C4-8816-30B94D6F5392}" type="presParOf" srcId="{4524967E-D98D-4A2F-A265-B92DEE435E82}" destId="{D09CD561-80B3-40D0-B14F-48DBE12F8E23}" srcOrd="0" destOrd="0" presId="urn:microsoft.com/office/officeart/2005/8/layout/process1"/>
    <dgm:cxn modelId="{03B128A0-B42A-477D-9521-7663932A2D57}" type="presParOf" srcId="{C53C5328-44D4-4880-818A-03828CF23331}" destId="{87D2CC28-FBF6-43D4-B710-5D9B7F0CEFA9}" srcOrd="2" destOrd="0" presId="urn:microsoft.com/office/officeart/2005/8/layout/process1"/>
    <dgm:cxn modelId="{B3C2379C-C801-455E-8AE8-708914529039}" type="presParOf" srcId="{C53C5328-44D4-4880-818A-03828CF23331}" destId="{E0BB9378-55A6-4122-A6A3-EA68D091E5D9}" srcOrd="3" destOrd="0" presId="urn:microsoft.com/office/officeart/2005/8/layout/process1"/>
    <dgm:cxn modelId="{6AB367BA-FC55-43AD-83EA-1BB64E515F91}" type="presParOf" srcId="{E0BB9378-55A6-4122-A6A3-EA68D091E5D9}" destId="{A7D2272F-FDC4-454B-8512-C75EEF6823CF}" srcOrd="0" destOrd="0" presId="urn:microsoft.com/office/officeart/2005/8/layout/process1"/>
    <dgm:cxn modelId="{C4351DB6-BA20-47B8-AC2A-F5891C519A35}" type="presParOf" srcId="{C53C5328-44D4-4880-818A-03828CF23331}" destId="{7389F8DB-92A7-4039-A930-2ED6CC42437D}" srcOrd="4" destOrd="0" presId="urn:microsoft.com/office/officeart/2005/8/layout/process1"/>
    <dgm:cxn modelId="{A853813E-7C46-4618-A349-FFF38CDCC402}" type="presParOf" srcId="{C53C5328-44D4-4880-818A-03828CF23331}" destId="{9C6D8AFB-D696-4F78-9464-C03EFF41D675}" srcOrd="5" destOrd="0" presId="urn:microsoft.com/office/officeart/2005/8/layout/process1"/>
    <dgm:cxn modelId="{8EADFB85-3412-4CCD-A83B-D446A6F3B277}" type="presParOf" srcId="{9C6D8AFB-D696-4F78-9464-C03EFF41D675}" destId="{AEFEA651-5333-4AAD-BCB4-90712EC99029}" srcOrd="0" destOrd="0" presId="urn:microsoft.com/office/officeart/2005/8/layout/process1"/>
    <dgm:cxn modelId="{1D4FDD97-76BA-4CB3-B982-9DC431F3D997}" type="presParOf" srcId="{C53C5328-44D4-4880-818A-03828CF23331}" destId="{7DCAD75A-689C-438E-8E38-BBA0068B1E15}" srcOrd="6" destOrd="0" presId="urn:microsoft.com/office/officeart/2005/8/layout/process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5399405" cy="667385"/>
        <a:chOff x="0" y="0"/>
        <a:chExt cx="5399405" cy="667385"/>
      </a:xfrm>
    </dsp:grpSpPr>
    <dsp:sp modelId="{77289444-3903-40D5-BF9B-540E1A28D252}">
      <dsp:nvSpPr>
        <dsp:cNvPr id="3" name="圆角矩形 2"/>
        <dsp:cNvSpPr/>
      </dsp:nvSpPr>
      <dsp:spPr bwMode="white">
        <a:xfrm>
          <a:off x="0"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金融机构申请</a:t>
          </a:r>
        </a:p>
      </dsp:txBody>
      <dsp:txXfrm>
        <a:off x="0" y="9525"/>
        <a:ext cx="1038347" cy="648335"/>
      </dsp:txXfrm>
    </dsp:sp>
    <dsp:sp modelId="{4524967E-D98D-4A2F-A265-B92DEE435E82}">
      <dsp:nvSpPr>
        <dsp:cNvPr id="4" name="右箭头 3"/>
        <dsp:cNvSpPr/>
      </dsp:nvSpPr>
      <dsp:spPr bwMode="white">
        <a:xfrm>
          <a:off x="1135952" y="204937"/>
          <a:ext cx="220130" cy="257510"/>
        </a:xfrm>
        <a:prstGeom prst="rightArrow">
          <a:avLst>
            <a:gd name="adj1" fmla="val 60000"/>
            <a:gd name="adj2" fmla="val 50000"/>
          </a:avLst>
        </a:prstGeom>
      </dsp:spPr>
      <dsp:style>
        <a:lnRef idx="0">
          <a:schemeClr val="accent1">
            <a:tint val="60000"/>
          </a:schemeClr>
        </a:lnRef>
        <a:fillRef idx="2">
          <a:schemeClr val="accent1">
            <a:tint val="60000"/>
          </a:schemeClr>
        </a:fillRef>
        <a:effectRef idx="1">
          <a:scrgbClr r="0" g="0" b="0"/>
        </a:effectRef>
        <a:fontRef idx="minor">
          <a:schemeClr val="dk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a:off x="1135952" y="204937"/>
        <a:ext cx="220130" cy="257510"/>
      </dsp:txXfrm>
    </dsp:sp>
    <dsp:sp modelId="{87D2CC28-FBF6-43D4-B710-5D9B7F0CEFA9}">
      <dsp:nvSpPr>
        <dsp:cNvPr id="5" name="圆角矩形 4"/>
        <dsp:cNvSpPr/>
      </dsp:nvSpPr>
      <dsp:spPr bwMode="white">
        <a:xfrm>
          <a:off x="1453686"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受理</a:t>
          </a:r>
        </a:p>
      </dsp:txBody>
      <dsp:txXfrm>
        <a:off x="1453686" y="9525"/>
        <a:ext cx="1038347" cy="648335"/>
      </dsp:txXfrm>
    </dsp:sp>
    <dsp:sp modelId="{E0BB9378-55A6-4122-A6A3-EA68D091E5D9}">
      <dsp:nvSpPr>
        <dsp:cNvPr id="6" name="右箭头 5"/>
        <dsp:cNvSpPr/>
      </dsp:nvSpPr>
      <dsp:spPr bwMode="white">
        <a:xfrm>
          <a:off x="2589638" y="204937"/>
          <a:ext cx="220130" cy="257510"/>
        </a:xfrm>
        <a:prstGeom prst="rightArrow">
          <a:avLst>
            <a:gd name="adj1" fmla="val 60000"/>
            <a:gd name="adj2" fmla="val 50000"/>
          </a:avLst>
        </a:prstGeom>
      </dsp:spPr>
      <dsp:style>
        <a:lnRef idx="0">
          <a:schemeClr val="accent1">
            <a:tint val="60000"/>
          </a:schemeClr>
        </a:lnRef>
        <a:fillRef idx="2">
          <a:schemeClr val="accent1">
            <a:tint val="60000"/>
          </a:schemeClr>
        </a:fillRef>
        <a:effectRef idx="1">
          <a:scrgbClr r="0" g="0" b="0"/>
        </a:effectRef>
        <a:fontRef idx="minor">
          <a:schemeClr val="dk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a:off x="2589638" y="204937"/>
        <a:ext cx="220130" cy="257510"/>
      </dsp:txXfrm>
    </dsp:sp>
    <dsp:sp modelId="{7389F8DB-92A7-4039-A930-2ED6CC42437D}">
      <dsp:nvSpPr>
        <dsp:cNvPr id="7" name="圆角矩形 6"/>
        <dsp:cNvSpPr/>
      </dsp:nvSpPr>
      <dsp:spPr bwMode="white">
        <a:xfrm>
          <a:off x="2907372"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审核</a:t>
          </a:r>
        </a:p>
      </dsp:txBody>
      <dsp:txXfrm>
        <a:off x="2907372" y="9525"/>
        <a:ext cx="1038347" cy="648335"/>
      </dsp:txXfrm>
    </dsp:sp>
    <dsp:sp modelId="{9C6D8AFB-D696-4F78-9464-C03EFF41D675}">
      <dsp:nvSpPr>
        <dsp:cNvPr id="8" name="右箭头 7"/>
        <dsp:cNvSpPr/>
      </dsp:nvSpPr>
      <dsp:spPr bwMode="white">
        <a:xfrm>
          <a:off x="4043324" y="204937"/>
          <a:ext cx="220130" cy="257510"/>
        </a:xfrm>
        <a:prstGeom prst="rightArrow">
          <a:avLst>
            <a:gd name="adj1" fmla="val 60000"/>
            <a:gd name="adj2" fmla="val 50000"/>
          </a:avLst>
        </a:prstGeom>
      </dsp:spPr>
      <dsp:style>
        <a:lnRef idx="0">
          <a:schemeClr val="accent1">
            <a:tint val="60000"/>
          </a:schemeClr>
        </a:lnRef>
        <a:fillRef idx="2">
          <a:schemeClr val="accent1">
            <a:tint val="60000"/>
          </a:schemeClr>
        </a:fillRef>
        <a:effectRef idx="1">
          <a:scrgbClr r="0" g="0" b="0"/>
        </a:effectRef>
        <a:fontRef idx="minor">
          <a:schemeClr val="dk1"/>
        </a:fontRef>
      </dsp:style>
      <dsp:txBody>
        <a:bodyPr lIns="0" tIns="0" rIns="0" bIns="0" anchor="ctr"/>
        <a:lstStyle>
          <a:lvl1pPr algn="ctr">
            <a:defRPr sz="1000"/>
          </a:lvl1pPr>
          <a:lvl2pPr marL="57150" indent="-57150" algn="ctr">
            <a:defRPr sz="800"/>
          </a:lvl2pPr>
          <a:lvl3pPr marL="114300" indent="-57150" algn="ctr">
            <a:defRPr sz="800"/>
          </a:lvl3pPr>
          <a:lvl4pPr marL="171450" indent="-57150" algn="ctr">
            <a:defRPr sz="800"/>
          </a:lvl4pPr>
          <a:lvl5pPr marL="228600" indent="-57150" algn="ctr">
            <a:defRPr sz="800"/>
          </a:lvl5pPr>
          <a:lvl6pPr marL="285750" indent="-57150" algn="ctr">
            <a:defRPr sz="800"/>
          </a:lvl6pPr>
          <a:lvl7pPr marL="342900" indent="-57150" algn="ctr">
            <a:defRPr sz="800"/>
          </a:lvl7pPr>
          <a:lvl8pPr marL="400050" indent="-57150" algn="ctr">
            <a:defRPr sz="800"/>
          </a:lvl8pPr>
          <a:lvl9pPr marL="457200" indent="-57150" algn="ctr">
            <a:defRPr sz="800"/>
          </a:lvl9pPr>
        </a:lstStyle>
        <a:p>
          <a:pPr lvl="0">
            <a:lnSpc>
              <a:spcPct val="100000"/>
            </a:lnSpc>
            <a:spcBef>
              <a:spcPct val="0"/>
            </a:spcBef>
            <a:spcAft>
              <a:spcPct val="35000"/>
            </a:spcAft>
          </a:pPr>
          <a:endParaRPr lang="zh-CN" altLang="en-US"/>
        </a:p>
      </dsp:txBody>
      <dsp:txXfrm>
        <a:off x="4043324" y="204937"/>
        <a:ext cx="220130" cy="257510"/>
      </dsp:txXfrm>
    </dsp:sp>
    <dsp:sp modelId="{7DCAD75A-689C-438E-8E38-BBA0068B1E15}">
      <dsp:nvSpPr>
        <dsp:cNvPr id="9" name="圆角矩形 8"/>
        <dsp:cNvSpPr/>
      </dsp:nvSpPr>
      <dsp:spPr bwMode="white">
        <a:xfrm>
          <a:off x="4361058" y="9525"/>
          <a:ext cx="1038347" cy="648335"/>
        </a:xfrm>
        <a:prstGeom prst="roundRect">
          <a:avLst>
            <a:gd name="adj" fmla="val 10000"/>
          </a:avLst>
        </a:prstGeom>
        <a:sp3d prstMaterial="dkEdge">
          <a:bevelT w="8200" h="38100"/>
        </a:sp3d>
      </dsp:spPr>
      <dsp:style>
        <a:lnRef idx="0">
          <a:schemeClr val="lt1"/>
        </a:lnRef>
        <a:fillRef idx="2">
          <a:schemeClr val="accent1"/>
        </a:fillRef>
        <a:effectRef idx="1">
          <a:scrgbClr r="0" g="0" b="0"/>
        </a:effectRef>
        <a:fontRef idx="minor">
          <a:schemeClr val="dk1"/>
        </a:fontRef>
      </dsp:style>
      <dsp:txBody>
        <a:bodyPr lIns="60960" tIns="60960" rIns="60960" bIns="60960" anchor="ctr"/>
        <a:lstStyle>
          <a:lvl1pPr algn="ctr">
            <a:defRPr sz="1600"/>
          </a:lvl1pPr>
          <a:lvl2pPr marL="114300" indent="-114300" algn="ctr">
            <a:defRPr sz="1200"/>
          </a:lvl2pPr>
          <a:lvl3pPr marL="228600" indent="-114300" algn="ctr">
            <a:defRPr sz="1200"/>
          </a:lvl3pPr>
          <a:lvl4pPr marL="342900" indent="-114300" algn="ctr">
            <a:defRPr sz="1200"/>
          </a:lvl4pPr>
          <a:lvl5pPr marL="457200" indent="-114300" algn="ctr">
            <a:defRPr sz="1200"/>
          </a:lvl5pPr>
          <a:lvl6pPr marL="571500" indent="-114300" algn="ctr">
            <a:defRPr sz="1200"/>
          </a:lvl6pPr>
          <a:lvl7pPr marL="685800" indent="-114300" algn="ctr">
            <a:defRPr sz="1200"/>
          </a:lvl7pPr>
          <a:lvl8pPr marL="800100" indent="-114300" algn="ctr">
            <a:defRPr sz="1200"/>
          </a:lvl8pPr>
          <a:lvl9pPr marL="914400" indent="-114300" algn="ctr">
            <a:defRPr sz="1200"/>
          </a:lvl9pPr>
        </a:lstStyle>
        <a:p>
          <a:pPr lvl="0">
            <a:lnSpc>
              <a:spcPct val="100000"/>
            </a:lnSpc>
            <a:spcBef>
              <a:spcPct val="0"/>
            </a:spcBef>
            <a:spcAft>
              <a:spcPct val="35000"/>
            </a:spcAft>
          </a:pPr>
          <a:r>
            <a:rPr lang="zh-CN" altLang="en-US"/>
            <a:t>核发备案证明</a:t>
          </a:r>
        </a:p>
      </dsp:txBody>
      <dsp:txXfrm>
        <a:off x="4361058" y="9525"/>
        <a:ext cx="1038347" cy="6483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Words>
  <Characters>380</Characters>
  <Lines>3</Lines>
  <Paragraphs>1</Paragraphs>
  <TotalTime>16</TotalTime>
  <ScaleCrop>false</ScaleCrop>
  <LinksUpToDate>false</LinksUpToDate>
  <CharactersWithSpaces>445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2022-12-14T01:50:00Z</dcterms:created>
  <dc:creator>amidn</dc:creator>
  <cp:lastModifiedBy>SSSz</cp:lastModifiedBy>
  <dcterms:modified xsi:type="dcterms:W3CDTF">2023-03-09T06:58:38Z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665787E6F8554BD09286437CCA52EF5F</vt:lpwstr>
  </property>
</Properties>
</file>