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pacing w:val="-16"/>
          <w:sz w:val="44"/>
        </w:rPr>
      </w:pPr>
      <w:r>
        <w:rPr>
          <w:rFonts w:hint="eastAsia" w:ascii="宋体" w:hAnsi="宋体" w:eastAsia="宋体" w:cs="宋体"/>
          <w:b/>
          <w:bCs w:val="0"/>
          <w:spacing w:val="-20"/>
          <w:sz w:val="44"/>
          <w:szCs w:val="44"/>
          <w:lang w:val="en-US" w:eastAsia="zh-CN"/>
        </w:rPr>
        <w:t>配装眼镜产品质量监督抽查实施细则</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一、抽样方法</w:t>
      </w:r>
    </w:p>
    <w:p>
      <w:pPr>
        <w:widowControl/>
        <w:ind w:firstLine="640" w:firstLineChars="200"/>
        <w:rPr>
          <w:rFonts w:hint="eastAsia" w:ascii="仿宋_GB2312" w:hAnsi="Times New Roman" w:cs="Times New Roman"/>
          <w:kern w:val="0"/>
          <w:szCs w:val="32"/>
        </w:rPr>
      </w:pPr>
      <w:r>
        <w:rPr>
          <w:rFonts w:hint="eastAsia" w:ascii="仿宋_GB2312" w:hAnsi="Times New Roman" w:cs="Times New Roman"/>
          <w:kern w:val="0"/>
          <w:szCs w:val="32"/>
        </w:rPr>
        <w:t>以随机抽样的方式在被抽查市场主体的待销产品中抽取。</w:t>
      </w:r>
    </w:p>
    <w:p>
      <w:pPr>
        <w:widowControl/>
        <w:ind w:firstLine="640" w:firstLineChars="200"/>
        <w:rPr>
          <w:rFonts w:hint="eastAsia" w:ascii="仿宋_GB2312" w:hAnsi="Times New Roman" w:cs="Times New Roman"/>
          <w:kern w:val="0"/>
          <w:szCs w:val="32"/>
        </w:rPr>
      </w:pPr>
      <w:r>
        <w:rPr>
          <w:rFonts w:hint="eastAsia" w:ascii="仿宋_GB2312" w:hAnsi="Times New Roman" w:cs="Times New Roman"/>
          <w:kern w:val="0"/>
          <w:szCs w:val="32"/>
        </w:rPr>
        <w:t>随机数一般可使用随机数表等方法产生。</w:t>
      </w:r>
    </w:p>
    <w:p>
      <w:pPr>
        <w:widowControl/>
        <w:ind w:firstLine="640" w:firstLineChars="200"/>
        <w:rPr>
          <w:rFonts w:hint="eastAsia" w:ascii="仿宋_GB2312" w:hAnsi="Times New Roman" w:cs="Times New Roman"/>
          <w:kern w:val="0"/>
          <w:szCs w:val="32"/>
        </w:rPr>
      </w:pPr>
      <w:r>
        <w:rPr>
          <w:rFonts w:hint="eastAsia" w:ascii="仿宋_GB2312" w:hAnsi="Times New Roman" w:cs="Times New Roman"/>
          <w:kern w:val="0"/>
          <w:szCs w:val="32"/>
        </w:rPr>
        <w:t>抽查数量：每款产品抽取1组样本用于检验（无备样）。具体抽样数量和方法如下：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698"/>
        <w:gridCol w:w="3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b/>
                <w:sz w:val="24"/>
              </w:rPr>
            </w:pPr>
            <w:r>
              <w:rPr>
                <w:rFonts w:hint="eastAsia" w:ascii="仿宋_GB2312"/>
                <w:b/>
                <w:sz w:val="24"/>
              </w:rPr>
              <w:t>序号</w:t>
            </w:r>
          </w:p>
        </w:tc>
        <w:tc>
          <w:tcPr>
            <w:tcW w:w="36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b/>
                <w:sz w:val="24"/>
              </w:rPr>
            </w:pPr>
            <w:r>
              <w:rPr>
                <w:rFonts w:hint="eastAsia" w:ascii="仿宋_GB2312"/>
                <w:b/>
                <w:sz w:val="24"/>
              </w:rPr>
              <w:t>产品名称</w:t>
            </w:r>
          </w:p>
        </w:tc>
        <w:tc>
          <w:tcPr>
            <w:tcW w:w="36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b/>
                <w:sz w:val="24"/>
              </w:rPr>
            </w:pPr>
            <w:r>
              <w:rPr>
                <w:rFonts w:hint="eastAsia" w:ascii="仿宋_GB2312"/>
                <w:b/>
                <w:sz w:val="24"/>
              </w:rPr>
              <w:t>第1组数量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7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sz w:val="24"/>
              </w:rPr>
            </w:pPr>
            <w:r>
              <w:rPr>
                <w:rFonts w:hint="eastAsia" w:ascii="仿宋_GB2312"/>
                <w:sz w:val="24"/>
              </w:rPr>
              <w:t>1</w:t>
            </w:r>
          </w:p>
        </w:tc>
        <w:tc>
          <w:tcPr>
            <w:tcW w:w="36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sz w:val="24"/>
              </w:rPr>
            </w:pPr>
            <w:r>
              <w:rPr>
                <w:rFonts w:hint="eastAsia" w:ascii="仿宋_GB2312"/>
                <w:sz w:val="24"/>
              </w:rPr>
              <w:t>配装眼镜</w:t>
            </w:r>
          </w:p>
        </w:tc>
        <w:tc>
          <w:tcPr>
            <w:tcW w:w="36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sz w:val="24"/>
              </w:rPr>
            </w:pPr>
            <w:r>
              <w:rPr>
                <w:rFonts w:hint="eastAsia" w:ascii="仿宋_GB2312"/>
                <w:sz w:val="24"/>
              </w:rPr>
              <w:t>1副</w:t>
            </w:r>
          </w:p>
        </w:tc>
      </w:tr>
    </w:tbl>
    <w:p>
      <w:pPr>
        <w:widowControl/>
        <w:ind w:firstLine="640" w:firstLineChars="200"/>
        <w:rPr>
          <w:rFonts w:hint="eastAsia" w:ascii="仿宋_GB2312"/>
          <w:kern w:val="0"/>
          <w:szCs w:val="32"/>
        </w:rPr>
      </w:pPr>
      <w:r>
        <w:rPr>
          <w:rFonts w:hint="eastAsia" w:ascii="仿宋_GB2312"/>
          <w:kern w:val="0"/>
          <w:szCs w:val="32"/>
        </w:rPr>
        <w:t>当库存基数少于抽查数量时，可由抽样人员现场开具配装眼镜处方单（含顶焦度、轴位、瞳距等），交抽查市场主体现场制作。为确保样品的完好有效，每一副配装眼镜应附有包含加工制作参数的单据、出厂标识标签等，并有独立完整的包装。在运输和寄送过程中应适当防护，防止样品变形或破损。</w:t>
      </w:r>
    </w:p>
    <w:p>
      <w:pPr>
        <w:ind w:firstLine="640" w:firstLineChars="200"/>
        <w:rPr>
          <w:rFonts w:eastAsia="黑体"/>
          <w:szCs w:val="32"/>
        </w:rPr>
      </w:pPr>
      <w:r>
        <w:rPr>
          <w:rFonts w:eastAsia="黑体"/>
          <w:szCs w:val="32"/>
        </w:rPr>
        <w:t>二、主要检验项目及检验项目属性划分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440"/>
        <w:gridCol w:w="2390"/>
        <w:gridCol w:w="798"/>
        <w:gridCol w:w="709"/>
        <w:gridCol w:w="709"/>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57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sz w:val="24"/>
              </w:rPr>
            </w:pPr>
            <w:r>
              <w:rPr>
                <w:rFonts w:hint="eastAsia" w:ascii="仿宋_GB2312"/>
                <w:sz w:val="24"/>
              </w:rPr>
              <w:t>序号</w:t>
            </w:r>
          </w:p>
        </w:tc>
        <w:tc>
          <w:tcPr>
            <w:tcW w:w="244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sz w:val="24"/>
              </w:rPr>
            </w:pPr>
            <w:r>
              <w:rPr>
                <w:rFonts w:hint="eastAsia" w:ascii="仿宋_GB2312"/>
                <w:sz w:val="24"/>
              </w:rPr>
              <w:t>检验项目</w:t>
            </w:r>
          </w:p>
        </w:tc>
        <w:tc>
          <w:tcPr>
            <w:tcW w:w="239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sz w:val="24"/>
              </w:rPr>
            </w:pPr>
            <w:r>
              <w:rPr>
                <w:rFonts w:hint="eastAsia" w:ascii="仿宋_GB2312"/>
                <w:sz w:val="24"/>
              </w:rPr>
              <w:t>检验方法</w:t>
            </w:r>
          </w:p>
        </w:tc>
        <w:tc>
          <w:tcPr>
            <w:tcW w:w="7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sz w:val="24"/>
              </w:rPr>
            </w:pPr>
            <w:r>
              <w:rPr>
                <w:rFonts w:hint="eastAsia" w:ascii="仿宋_GB2312"/>
                <w:sz w:val="24"/>
              </w:rPr>
              <w:t>强制性</w:t>
            </w:r>
          </w:p>
        </w:tc>
        <w:tc>
          <w:tcPr>
            <w:tcW w:w="70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sz w:val="24"/>
              </w:rPr>
            </w:pPr>
            <w:r>
              <w:rPr>
                <w:rFonts w:hint="eastAsia" w:ascii="仿宋_GB2312"/>
                <w:sz w:val="24"/>
              </w:rPr>
              <w:t>非强制性</w:t>
            </w:r>
          </w:p>
        </w:tc>
        <w:tc>
          <w:tcPr>
            <w:tcW w:w="70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sz w:val="24"/>
              </w:rPr>
            </w:pPr>
            <w:r>
              <w:rPr>
                <w:rFonts w:hint="eastAsia" w:ascii="仿宋_GB2312"/>
                <w:sz w:val="24"/>
              </w:rPr>
              <w:t>重要项</w:t>
            </w:r>
          </w:p>
        </w:tc>
        <w:tc>
          <w:tcPr>
            <w:tcW w:w="70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sz w:val="24"/>
              </w:rPr>
            </w:pPr>
            <w:r>
              <w:rPr>
                <w:rFonts w:hint="eastAsia" w:ascii="仿宋_GB2312"/>
                <w:sz w:val="24"/>
              </w:rPr>
              <w:t>较重要项</w:t>
            </w:r>
          </w:p>
        </w:tc>
        <w:tc>
          <w:tcPr>
            <w:tcW w:w="709" w:type="dxa"/>
            <w:tcBorders>
              <w:top w:val="single" w:color="auto" w:sz="4" w:space="0"/>
              <w:left w:val="single" w:color="auto" w:sz="4" w:space="0"/>
              <w:right w:val="single" w:color="auto" w:sz="4" w:space="0"/>
            </w:tcBorders>
            <w:noWrap/>
            <w:vAlign w:val="center"/>
          </w:tcPr>
          <w:p>
            <w:pPr>
              <w:adjustRightInd w:val="0"/>
              <w:snapToGrid w:val="0"/>
              <w:jc w:val="center"/>
              <w:rPr>
                <w:rFonts w:hint="eastAsia" w:ascii="仿宋_GB2312"/>
                <w:sz w:val="24"/>
              </w:rPr>
            </w:pPr>
            <w:r>
              <w:rPr>
                <w:rFonts w:hint="eastAsia" w:ascii="仿宋_GB2312"/>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0" w:type="dxa"/>
            <w:noWrap/>
            <w:vAlign w:val="center"/>
          </w:tcPr>
          <w:p>
            <w:pPr>
              <w:adjustRightInd w:val="0"/>
              <w:snapToGrid w:val="0"/>
              <w:jc w:val="center"/>
              <w:rPr>
                <w:rFonts w:hint="eastAsia" w:ascii="仿宋_GB2312"/>
                <w:sz w:val="24"/>
              </w:rPr>
            </w:pPr>
            <w:r>
              <w:rPr>
                <w:rFonts w:hint="eastAsia" w:ascii="仿宋_GB2312"/>
                <w:sz w:val="24"/>
              </w:rPr>
              <w:t>1</w:t>
            </w:r>
          </w:p>
        </w:tc>
        <w:tc>
          <w:tcPr>
            <w:tcW w:w="2440" w:type="dxa"/>
            <w:noWrap/>
            <w:vAlign w:val="center"/>
          </w:tcPr>
          <w:p>
            <w:pPr>
              <w:jc w:val="center"/>
              <w:rPr>
                <w:rFonts w:hint="eastAsia" w:ascii="仿宋_GB2312"/>
                <w:sz w:val="24"/>
              </w:rPr>
            </w:pPr>
            <w:r>
              <w:rPr>
                <w:rFonts w:hint="eastAsia" w:ascii="仿宋_GB2312"/>
                <w:sz w:val="24"/>
              </w:rPr>
              <w:t>镜片表面质量和内在疵病</w:t>
            </w:r>
          </w:p>
        </w:tc>
        <w:tc>
          <w:tcPr>
            <w:tcW w:w="2390" w:type="dxa"/>
            <w:noWrap/>
            <w:vAlign w:val="center"/>
          </w:tcPr>
          <w:p>
            <w:pPr>
              <w:adjustRightInd w:val="0"/>
              <w:snapToGrid w:val="0"/>
              <w:jc w:val="center"/>
              <w:rPr>
                <w:rFonts w:hint="eastAsia" w:ascii="仿宋_GB2312"/>
                <w:spacing w:val="-6"/>
                <w:sz w:val="24"/>
              </w:rPr>
            </w:pPr>
            <w:r>
              <w:rPr>
                <w:rFonts w:hint="eastAsia" w:ascii="仿宋_GB2312"/>
                <w:spacing w:val="-6"/>
                <w:sz w:val="24"/>
              </w:rPr>
              <w:t>GB 10810.1-2005 6.6</w:t>
            </w:r>
          </w:p>
        </w:tc>
        <w:tc>
          <w:tcPr>
            <w:tcW w:w="798" w:type="dxa"/>
            <w:noWrap/>
            <w:vAlign w:val="center"/>
          </w:tcPr>
          <w:p>
            <w:pPr>
              <w:jc w:val="center"/>
              <w:rPr>
                <w:rFonts w:hint="eastAsia" w:ascii="仿宋_GB2312"/>
                <w:sz w:val="20"/>
              </w:rPr>
            </w:pPr>
            <w:r>
              <w:rPr>
                <w:rFonts w:hint="eastAsia" w:ascii="仿宋_GB2312"/>
                <w:sz w:val="20"/>
              </w:rPr>
              <w:t>●</w:t>
            </w:r>
          </w:p>
        </w:tc>
        <w:tc>
          <w:tcPr>
            <w:tcW w:w="709" w:type="dxa"/>
            <w:noWrap/>
            <w:vAlign w:val="center"/>
          </w:tcPr>
          <w:p>
            <w:pPr>
              <w:jc w:val="center"/>
              <w:rPr>
                <w:rFonts w:hint="eastAsia" w:ascii="仿宋_GB2312"/>
                <w:sz w:val="20"/>
              </w:rPr>
            </w:pPr>
          </w:p>
        </w:tc>
        <w:tc>
          <w:tcPr>
            <w:tcW w:w="709" w:type="dxa"/>
            <w:noWrap/>
            <w:vAlign w:val="center"/>
          </w:tcPr>
          <w:p>
            <w:pPr>
              <w:adjustRightInd w:val="0"/>
              <w:snapToGrid w:val="0"/>
              <w:jc w:val="center"/>
              <w:rPr>
                <w:rFonts w:hint="eastAsia" w:ascii="仿宋_GB2312"/>
                <w:sz w:val="18"/>
                <w:szCs w:val="18"/>
              </w:rPr>
            </w:pPr>
          </w:p>
        </w:tc>
        <w:tc>
          <w:tcPr>
            <w:tcW w:w="708" w:type="dxa"/>
            <w:noWrap/>
            <w:vAlign w:val="center"/>
          </w:tcPr>
          <w:p>
            <w:pPr>
              <w:adjustRightInd w:val="0"/>
              <w:snapToGrid w:val="0"/>
              <w:jc w:val="center"/>
              <w:rPr>
                <w:rFonts w:hint="eastAsia" w:ascii="仿宋_GB2312"/>
                <w:sz w:val="18"/>
                <w:szCs w:val="18"/>
              </w:rPr>
            </w:pPr>
            <w:r>
              <w:rPr>
                <w:rFonts w:hint="eastAsia" w:ascii="仿宋_GB2312"/>
                <w:sz w:val="20"/>
              </w:rPr>
              <w:t>●</w:t>
            </w:r>
          </w:p>
        </w:tc>
        <w:tc>
          <w:tcPr>
            <w:tcW w:w="709" w:type="dxa"/>
            <w:noWrap/>
            <w:vAlign w:val="center"/>
          </w:tcPr>
          <w:p>
            <w:pPr>
              <w:adjustRightInd w:val="0"/>
              <w:snapToGrid w:val="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0" w:type="dxa"/>
            <w:noWrap/>
            <w:vAlign w:val="center"/>
          </w:tcPr>
          <w:p>
            <w:pPr>
              <w:adjustRightInd w:val="0"/>
              <w:snapToGrid w:val="0"/>
              <w:jc w:val="center"/>
              <w:rPr>
                <w:rFonts w:hint="eastAsia" w:ascii="仿宋_GB2312"/>
                <w:sz w:val="24"/>
              </w:rPr>
            </w:pPr>
            <w:r>
              <w:rPr>
                <w:rFonts w:hint="eastAsia" w:ascii="仿宋_GB2312"/>
                <w:sz w:val="24"/>
              </w:rPr>
              <w:t>2</w:t>
            </w:r>
          </w:p>
        </w:tc>
        <w:tc>
          <w:tcPr>
            <w:tcW w:w="2440" w:type="dxa"/>
            <w:noWrap/>
            <w:vAlign w:val="center"/>
          </w:tcPr>
          <w:p>
            <w:pPr>
              <w:jc w:val="center"/>
              <w:rPr>
                <w:rFonts w:hint="eastAsia" w:ascii="仿宋_GB2312"/>
                <w:sz w:val="24"/>
              </w:rPr>
            </w:pPr>
            <w:r>
              <w:rPr>
                <w:rFonts w:hint="eastAsia" w:ascii="仿宋_GB2312"/>
                <w:sz w:val="24"/>
              </w:rPr>
              <w:t>镜架外观质量</w:t>
            </w:r>
          </w:p>
        </w:tc>
        <w:tc>
          <w:tcPr>
            <w:tcW w:w="2390" w:type="dxa"/>
            <w:noWrap/>
            <w:vAlign w:val="center"/>
          </w:tcPr>
          <w:p>
            <w:pPr>
              <w:adjustRightInd w:val="0"/>
              <w:snapToGrid w:val="0"/>
              <w:jc w:val="center"/>
              <w:rPr>
                <w:rFonts w:hint="eastAsia" w:ascii="仿宋_GB2312"/>
                <w:spacing w:val="-6"/>
                <w:sz w:val="24"/>
              </w:rPr>
            </w:pPr>
            <w:r>
              <w:rPr>
                <w:rFonts w:hint="eastAsia" w:ascii="仿宋_GB2312"/>
                <w:spacing w:val="-6"/>
                <w:sz w:val="24"/>
              </w:rPr>
              <w:t>GB/T 14214-2003 5.4</w:t>
            </w:r>
          </w:p>
        </w:tc>
        <w:tc>
          <w:tcPr>
            <w:tcW w:w="798" w:type="dxa"/>
            <w:noWrap/>
            <w:vAlign w:val="center"/>
          </w:tcPr>
          <w:p>
            <w:pPr>
              <w:jc w:val="center"/>
              <w:rPr>
                <w:rFonts w:hint="eastAsia" w:ascii="仿宋_GB2312"/>
                <w:sz w:val="20"/>
              </w:rPr>
            </w:pPr>
            <w:r>
              <w:rPr>
                <w:rFonts w:hint="eastAsia" w:ascii="仿宋_GB2312"/>
                <w:sz w:val="20"/>
              </w:rPr>
              <w:t>●</w:t>
            </w:r>
          </w:p>
        </w:tc>
        <w:tc>
          <w:tcPr>
            <w:tcW w:w="709" w:type="dxa"/>
            <w:noWrap/>
            <w:vAlign w:val="center"/>
          </w:tcPr>
          <w:p>
            <w:pPr>
              <w:jc w:val="center"/>
              <w:rPr>
                <w:rFonts w:hint="eastAsia" w:ascii="仿宋_GB2312"/>
                <w:sz w:val="20"/>
              </w:rPr>
            </w:pPr>
          </w:p>
        </w:tc>
        <w:tc>
          <w:tcPr>
            <w:tcW w:w="709" w:type="dxa"/>
            <w:noWrap/>
            <w:vAlign w:val="center"/>
          </w:tcPr>
          <w:p>
            <w:pPr>
              <w:jc w:val="center"/>
              <w:rPr>
                <w:rFonts w:hint="eastAsia" w:ascii="仿宋_GB2312"/>
                <w:sz w:val="20"/>
              </w:rPr>
            </w:pPr>
          </w:p>
        </w:tc>
        <w:tc>
          <w:tcPr>
            <w:tcW w:w="708" w:type="dxa"/>
            <w:noWrap/>
            <w:vAlign w:val="center"/>
          </w:tcPr>
          <w:p>
            <w:pPr>
              <w:adjustRightInd w:val="0"/>
              <w:snapToGrid w:val="0"/>
              <w:jc w:val="center"/>
              <w:rPr>
                <w:rFonts w:hint="eastAsia" w:ascii="仿宋_GB2312"/>
                <w:sz w:val="18"/>
                <w:szCs w:val="18"/>
              </w:rPr>
            </w:pPr>
            <w:r>
              <w:rPr>
                <w:rFonts w:hint="eastAsia" w:ascii="仿宋_GB2312"/>
                <w:sz w:val="20"/>
              </w:rPr>
              <w:t>●</w:t>
            </w:r>
          </w:p>
        </w:tc>
        <w:tc>
          <w:tcPr>
            <w:tcW w:w="709" w:type="dxa"/>
            <w:noWrap/>
            <w:vAlign w:val="center"/>
          </w:tcPr>
          <w:p>
            <w:pPr>
              <w:adjustRightInd w:val="0"/>
              <w:snapToGrid w:val="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0" w:type="dxa"/>
            <w:noWrap/>
            <w:vAlign w:val="center"/>
          </w:tcPr>
          <w:p>
            <w:pPr>
              <w:adjustRightInd w:val="0"/>
              <w:snapToGrid w:val="0"/>
              <w:jc w:val="center"/>
              <w:rPr>
                <w:rFonts w:hint="eastAsia" w:ascii="仿宋_GB2312"/>
                <w:sz w:val="24"/>
              </w:rPr>
            </w:pPr>
            <w:r>
              <w:rPr>
                <w:rFonts w:hint="eastAsia" w:ascii="仿宋_GB2312"/>
                <w:sz w:val="24"/>
              </w:rPr>
              <w:t>3</w:t>
            </w:r>
          </w:p>
        </w:tc>
        <w:tc>
          <w:tcPr>
            <w:tcW w:w="2440" w:type="dxa"/>
            <w:noWrap/>
            <w:vAlign w:val="center"/>
          </w:tcPr>
          <w:p>
            <w:pPr>
              <w:jc w:val="center"/>
              <w:rPr>
                <w:rFonts w:hint="eastAsia" w:ascii="仿宋_GB2312"/>
                <w:sz w:val="24"/>
              </w:rPr>
            </w:pPr>
            <w:r>
              <w:rPr>
                <w:rFonts w:hint="eastAsia" w:ascii="仿宋_GB2312"/>
                <w:sz w:val="24"/>
              </w:rPr>
              <w:t>球镜顶焦度允差（D）</w:t>
            </w:r>
          </w:p>
        </w:tc>
        <w:tc>
          <w:tcPr>
            <w:tcW w:w="2390" w:type="dxa"/>
            <w:noWrap/>
            <w:vAlign w:val="center"/>
          </w:tcPr>
          <w:p>
            <w:pPr>
              <w:adjustRightInd w:val="0"/>
              <w:snapToGrid w:val="0"/>
              <w:jc w:val="center"/>
              <w:rPr>
                <w:rFonts w:hint="eastAsia" w:ascii="仿宋_GB2312"/>
                <w:spacing w:val="-6"/>
                <w:sz w:val="24"/>
              </w:rPr>
            </w:pPr>
            <w:r>
              <w:rPr>
                <w:rFonts w:hint="eastAsia" w:ascii="仿宋_GB2312"/>
                <w:spacing w:val="-6"/>
                <w:sz w:val="24"/>
              </w:rPr>
              <w:t>GB 10810.1-2005 6.1</w:t>
            </w:r>
          </w:p>
        </w:tc>
        <w:tc>
          <w:tcPr>
            <w:tcW w:w="798" w:type="dxa"/>
            <w:noWrap/>
            <w:vAlign w:val="center"/>
          </w:tcPr>
          <w:p>
            <w:pPr>
              <w:jc w:val="center"/>
              <w:rPr>
                <w:rFonts w:hint="eastAsia" w:ascii="仿宋_GB2312"/>
                <w:sz w:val="20"/>
              </w:rPr>
            </w:pPr>
            <w:r>
              <w:rPr>
                <w:rFonts w:hint="eastAsia" w:ascii="仿宋_GB2312"/>
                <w:sz w:val="20"/>
              </w:rPr>
              <w:t>●</w:t>
            </w:r>
          </w:p>
        </w:tc>
        <w:tc>
          <w:tcPr>
            <w:tcW w:w="709" w:type="dxa"/>
            <w:noWrap/>
            <w:vAlign w:val="center"/>
          </w:tcPr>
          <w:p>
            <w:pPr>
              <w:jc w:val="center"/>
              <w:rPr>
                <w:rFonts w:hint="eastAsia" w:ascii="仿宋_GB2312"/>
                <w:sz w:val="20"/>
              </w:rPr>
            </w:pPr>
          </w:p>
        </w:tc>
        <w:tc>
          <w:tcPr>
            <w:tcW w:w="709" w:type="dxa"/>
            <w:noWrap/>
            <w:vAlign w:val="center"/>
          </w:tcPr>
          <w:p>
            <w:pPr>
              <w:jc w:val="center"/>
              <w:rPr>
                <w:rFonts w:hint="eastAsia" w:ascii="仿宋_GB2312"/>
                <w:sz w:val="20"/>
              </w:rPr>
            </w:pPr>
            <w:r>
              <w:rPr>
                <w:rFonts w:hint="eastAsia" w:ascii="仿宋_GB2312"/>
                <w:sz w:val="20"/>
              </w:rPr>
              <w:t>●</w:t>
            </w:r>
          </w:p>
        </w:tc>
        <w:tc>
          <w:tcPr>
            <w:tcW w:w="708" w:type="dxa"/>
            <w:noWrap/>
            <w:vAlign w:val="center"/>
          </w:tcPr>
          <w:p>
            <w:pPr>
              <w:adjustRightInd w:val="0"/>
              <w:snapToGrid w:val="0"/>
              <w:jc w:val="center"/>
              <w:rPr>
                <w:rFonts w:hint="eastAsia" w:ascii="仿宋_GB2312"/>
                <w:sz w:val="18"/>
                <w:szCs w:val="18"/>
              </w:rPr>
            </w:pPr>
          </w:p>
        </w:tc>
        <w:tc>
          <w:tcPr>
            <w:tcW w:w="709" w:type="dxa"/>
            <w:noWrap/>
            <w:vAlign w:val="center"/>
          </w:tcPr>
          <w:p>
            <w:pPr>
              <w:adjustRightInd w:val="0"/>
              <w:snapToGrid w:val="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0" w:type="dxa"/>
            <w:noWrap/>
            <w:vAlign w:val="center"/>
          </w:tcPr>
          <w:p>
            <w:pPr>
              <w:adjustRightInd w:val="0"/>
              <w:snapToGrid w:val="0"/>
              <w:jc w:val="center"/>
              <w:rPr>
                <w:rFonts w:hint="eastAsia" w:ascii="仿宋_GB2312"/>
                <w:sz w:val="24"/>
              </w:rPr>
            </w:pPr>
            <w:r>
              <w:rPr>
                <w:rFonts w:hint="eastAsia" w:ascii="仿宋_GB2312"/>
                <w:sz w:val="24"/>
              </w:rPr>
              <w:t>4</w:t>
            </w:r>
          </w:p>
        </w:tc>
        <w:tc>
          <w:tcPr>
            <w:tcW w:w="2440" w:type="dxa"/>
            <w:noWrap/>
            <w:vAlign w:val="center"/>
          </w:tcPr>
          <w:p>
            <w:pPr>
              <w:jc w:val="center"/>
              <w:rPr>
                <w:rFonts w:hint="eastAsia" w:ascii="仿宋_GB2312"/>
                <w:sz w:val="24"/>
              </w:rPr>
            </w:pPr>
            <w:r>
              <w:rPr>
                <w:rFonts w:hint="eastAsia" w:ascii="仿宋_GB2312"/>
                <w:sz w:val="24"/>
              </w:rPr>
              <w:t>柱镜顶焦度允差（D）</w:t>
            </w:r>
          </w:p>
        </w:tc>
        <w:tc>
          <w:tcPr>
            <w:tcW w:w="2390" w:type="dxa"/>
            <w:noWrap/>
            <w:vAlign w:val="center"/>
          </w:tcPr>
          <w:p>
            <w:pPr>
              <w:adjustRightInd w:val="0"/>
              <w:snapToGrid w:val="0"/>
              <w:jc w:val="center"/>
              <w:rPr>
                <w:rFonts w:hint="eastAsia" w:ascii="仿宋_GB2312"/>
                <w:spacing w:val="-6"/>
                <w:sz w:val="24"/>
              </w:rPr>
            </w:pPr>
            <w:r>
              <w:rPr>
                <w:rFonts w:hint="eastAsia" w:ascii="仿宋_GB2312"/>
                <w:spacing w:val="-6"/>
                <w:sz w:val="24"/>
              </w:rPr>
              <w:t>GB 10810.1-2005 6.1</w:t>
            </w:r>
          </w:p>
        </w:tc>
        <w:tc>
          <w:tcPr>
            <w:tcW w:w="798" w:type="dxa"/>
            <w:noWrap/>
            <w:vAlign w:val="center"/>
          </w:tcPr>
          <w:p>
            <w:pPr>
              <w:jc w:val="center"/>
              <w:rPr>
                <w:rFonts w:hint="eastAsia" w:ascii="仿宋_GB2312"/>
                <w:sz w:val="20"/>
              </w:rPr>
            </w:pPr>
            <w:r>
              <w:rPr>
                <w:rFonts w:hint="eastAsia" w:ascii="仿宋_GB2312"/>
                <w:sz w:val="20"/>
              </w:rPr>
              <w:t>●</w:t>
            </w:r>
          </w:p>
        </w:tc>
        <w:tc>
          <w:tcPr>
            <w:tcW w:w="709" w:type="dxa"/>
            <w:noWrap/>
            <w:vAlign w:val="center"/>
          </w:tcPr>
          <w:p>
            <w:pPr>
              <w:jc w:val="center"/>
              <w:rPr>
                <w:rFonts w:hint="eastAsia" w:ascii="仿宋_GB2312"/>
                <w:sz w:val="20"/>
              </w:rPr>
            </w:pPr>
          </w:p>
        </w:tc>
        <w:tc>
          <w:tcPr>
            <w:tcW w:w="709" w:type="dxa"/>
            <w:noWrap/>
            <w:vAlign w:val="center"/>
          </w:tcPr>
          <w:p>
            <w:pPr>
              <w:jc w:val="center"/>
              <w:rPr>
                <w:rFonts w:hint="eastAsia" w:ascii="仿宋_GB2312"/>
                <w:sz w:val="20"/>
              </w:rPr>
            </w:pPr>
            <w:r>
              <w:rPr>
                <w:rFonts w:hint="eastAsia" w:ascii="仿宋_GB2312"/>
                <w:sz w:val="20"/>
              </w:rPr>
              <w:t>●</w:t>
            </w:r>
          </w:p>
        </w:tc>
        <w:tc>
          <w:tcPr>
            <w:tcW w:w="708" w:type="dxa"/>
            <w:noWrap/>
            <w:vAlign w:val="center"/>
          </w:tcPr>
          <w:p>
            <w:pPr>
              <w:jc w:val="center"/>
              <w:rPr>
                <w:rFonts w:hint="eastAsia" w:ascii="仿宋_GB2312"/>
                <w:sz w:val="20"/>
              </w:rPr>
            </w:pPr>
          </w:p>
        </w:tc>
        <w:tc>
          <w:tcPr>
            <w:tcW w:w="709" w:type="dxa"/>
            <w:noWrap/>
            <w:vAlign w:val="center"/>
          </w:tcPr>
          <w:p>
            <w:pPr>
              <w:adjustRightInd w:val="0"/>
              <w:snapToGrid w:val="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0" w:type="dxa"/>
            <w:noWrap/>
            <w:vAlign w:val="center"/>
          </w:tcPr>
          <w:p>
            <w:pPr>
              <w:adjustRightInd w:val="0"/>
              <w:snapToGrid w:val="0"/>
              <w:jc w:val="center"/>
              <w:rPr>
                <w:rFonts w:hint="eastAsia" w:ascii="仿宋_GB2312"/>
                <w:sz w:val="24"/>
              </w:rPr>
            </w:pPr>
            <w:r>
              <w:rPr>
                <w:rFonts w:hint="eastAsia" w:ascii="仿宋_GB2312"/>
                <w:sz w:val="24"/>
              </w:rPr>
              <w:t>5</w:t>
            </w:r>
          </w:p>
        </w:tc>
        <w:tc>
          <w:tcPr>
            <w:tcW w:w="2440" w:type="dxa"/>
            <w:noWrap/>
            <w:vAlign w:val="center"/>
          </w:tcPr>
          <w:p>
            <w:pPr>
              <w:jc w:val="center"/>
              <w:rPr>
                <w:rFonts w:hint="eastAsia" w:ascii="仿宋_GB2312"/>
                <w:sz w:val="24"/>
              </w:rPr>
            </w:pPr>
            <w:r>
              <w:rPr>
                <w:rFonts w:hint="eastAsia" w:ascii="仿宋_GB2312"/>
                <w:sz w:val="24"/>
              </w:rPr>
              <w:t>柱镜轴位允差（°）</w:t>
            </w:r>
          </w:p>
        </w:tc>
        <w:tc>
          <w:tcPr>
            <w:tcW w:w="2390" w:type="dxa"/>
            <w:noWrap/>
            <w:vAlign w:val="center"/>
          </w:tcPr>
          <w:p>
            <w:pPr>
              <w:adjustRightInd w:val="0"/>
              <w:snapToGrid w:val="0"/>
              <w:jc w:val="center"/>
              <w:rPr>
                <w:rFonts w:hint="eastAsia" w:ascii="仿宋_GB2312"/>
                <w:spacing w:val="-6"/>
                <w:sz w:val="24"/>
              </w:rPr>
            </w:pPr>
            <w:r>
              <w:rPr>
                <w:rFonts w:hint="eastAsia" w:ascii="仿宋_GB2312"/>
                <w:spacing w:val="-6"/>
                <w:sz w:val="24"/>
              </w:rPr>
              <w:t>GB 13511.1-2011 6.3</w:t>
            </w:r>
          </w:p>
        </w:tc>
        <w:tc>
          <w:tcPr>
            <w:tcW w:w="798" w:type="dxa"/>
            <w:noWrap/>
            <w:vAlign w:val="center"/>
          </w:tcPr>
          <w:p>
            <w:pPr>
              <w:jc w:val="center"/>
              <w:rPr>
                <w:rFonts w:hint="eastAsia" w:ascii="仿宋_GB2312"/>
                <w:sz w:val="20"/>
              </w:rPr>
            </w:pPr>
            <w:r>
              <w:rPr>
                <w:rFonts w:hint="eastAsia" w:ascii="仿宋_GB2312"/>
                <w:sz w:val="20"/>
              </w:rPr>
              <w:t>●</w:t>
            </w:r>
          </w:p>
        </w:tc>
        <w:tc>
          <w:tcPr>
            <w:tcW w:w="709" w:type="dxa"/>
            <w:noWrap/>
            <w:vAlign w:val="center"/>
          </w:tcPr>
          <w:p>
            <w:pPr>
              <w:jc w:val="center"/>
              <w:rPr>
                <w:rFonts w:hint="eastAsia" w:ascii="仿宋_GB2312"/>
                <w:sz w:val="20"/>
              </w:rPr>
            </w:pPr>
          </w:p>
        </w:tc>
        <w:tc>
          <w:tcPr>
            <w:tcW w:w="709" w:type="dxa"/>
            <w:noWrap/>
            <w:vAlign w:val="center"/>
          </w:tcPr>
          <w:p>
            <w:pPr>
              <w:jc w:val="center"/>
              <w:rPr>
                <w:rFonts w:hint="eastAsia" w:ascii="仿宋_GB2312"/>
                <w:sz w:val="20"/>
              </w:rPr>
            </w:pPr>
            <w:r>
              <w:rPr>
                <w:rFonts w:hint="eastAsia" w:ascii="仿宋_GB2312"/>
                <w:sz w:val="20"/>
              </w:rPr>
              <w:t>●</w:t>
            </w:r>
          </w:p>
        </w:tc>
        <w:tc>
          <w:tcPr>
            <w:tcW w:w="708" w:type="dxa"/>
            <w:noWrap/>
            <w:vAlign w:val="center"/>
          </w:tcPr>
          <w:p>
            <w:pPr>
              <w:jc w:val="center"/>
              <w:rPr>
                <w:rFonts w:hint="eastAsia" w:ascii="仿宋_GB2312"/>
                <w:sz w:val="20"/>
              </w:rPr>
            </w:pPr>
          </w:p>
        </w:tc>
        <w:tc>
          <w:tcPr>
            <w:tcW w:w="709" w:type="dxa"/>
            <w:noWrap/>
            <w:vAlign w:val="center"/>
          </w:tcPr>
          <w:p>
            <w:pPr>
              <w:adjustRightInd w:val="0"/>
              <w:snapToGrid w:val="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0" w:type="dxa"/>
            <w:noWrap/>
            <w:vAlign w:val="center"/>
          </w:tcPr>
          <w:p>
            <w:pPr>
              <w:adjustRightInd w:val="0"/>
              <w:snapToGrid w:val="0"/>
              <w:jc w:val="center"/>
              <w:rPr>
                <w:rFonts w:hint="eastAsia" w:ascii="仿宋_GB2312"/>
                <w:sz w:val="24"/>
              </w:rPr>
            </w:pPr>
            <w:r>
              <w:rPr>
                <w:rFonts w:hint="eastAsia" w:ascii="仿宋_GB2312"/>
                <w:sz w:val="24"/>
              </w:rPr>
              <w:t>6</w:t>
            </w:r>
          </w:p>
        </w:tc>
        <w:tc>
          <w:tcPr>
            <w:tcW w:w="2440" w:type="dxa"/>
            <w:noWrap/>
            <w:vAlign w:val="center"/>
          </w:tcPr>
          <w:p>
            <w:pPr>
              <w:jc w:val="center"/>
              <w:rPr>
                <w:rFonts w:hint="eastAsia" w:ascii="仿宋_GB2312"/>
                <w:sz w:val="24"/>
              </w:rPr>
            </w:pPr>
            <w:r>
              <w:rPr>
                <w:rFonts w:hint="eastAsia" w:ascii="仿宋_GB2312"/>
                <w:sz w:val="24"/>
              </w:rPr>
              <w:t>棱镜度允差（Δ）</w:t>
            </w:r>
          </w:p>
        </w:tc>
        <w:tc>
          <w:tcPr>
            <w:tcW w:w="2390" w:type="dxa"/>
            <w:noWrap/>
            <w:vAlign w:val="center"/>
          </w:tcPr>
          <w:p>
            <w:pPr>
              <w:adjustRightInd w:val="0"/>
              <w:snapToGrid w:val="0"/>
              <w:jc w:val="center"/>
              <w:rPr>
                <w:rFonts w:hint="eastAsia" w:ascii="仿宋_GB2312"/>
                <w:spacing w:val="-6"/>
                <w:sz w:val="24"/>
              </w:rPr>
            </w:pPr>
            <w:r>
              <w:rPr>
                <w:rFonts w:hint="eastAsia" w:ascii="仿宋_GB2312"/>
                <w:spacing w:val="-6"/>
                <w:sz w:val="24"/>
              </w:rPr>
              <w:t>GB 13511.1-2011 6.5</w:t>
            </w:r>
          </w:p>
        </w:tc>
        <w:tc>
          <w:tcPr>
            <w:tcW w:w="798" w:type="dxa"/>
            <w:noWrap/>
            <w:vAlign w:val="center"/>
          </w:tcPr>
          <w:p>
            <w:pPr>
              <w:jc w:val="center"/>
              <w:rPr>
                <w:rFonts w:hint="eastAsia" w:ascii="仿宋_GB2312"/>
                <w:sz w:val="20"/>
              </w:rPr>
            </w:pPr>
            <w:r>
              <w:rPr>
                <w:rFonts w:hint="eastAsia" w:ascii="仿宋_GB2312"/>
                <w:sz w:val="20"/>
              </w:rPr>
              <w:t>●</w:t>
            </w:r>
          </w:p>
        </w:tc>
        <w:tc>
          <w:tcPr>
            <w:tcW w:w="709" w:type="dxa"/>
            <w:noWrap/>
            <w:vAlign w:val="center"/>
          </w:tcPr>
          <w:p>
            <w:pPr>
              <w:jc w:val="center"/>
              <w:rPr>
                <w:rFonts w:hint="eastAsia" w:ascii="仿宋_GB2312"/>
                <w:sz w:val="20"/>
              </w:rPr>
            </w:pPr>
          </w:p>
        </w:tc>
        <w:tc>
          <w:tcPr>
            <w:tcW w:w="709" w:type="dxa"/>
            <w:noWrap/>
            <w:vAlign w:val="center"/>
          </w:tcPr>
          <w:p>
            <w:pPr>
              <w:jc w:val="center"/>
              <w:rPr>
                <w:rFonts w:hint="eastAsia" w:ascii="仿宋_GB2312"/>
                <w:sz w:val="20"/>
              </w:rPr>
            </w:pPr>
            <w:r>
              <w:rPr>
                <w:rFonts w:hint="eastAsia" w:ascii="仿宋_GB2312"/>
                <w:sz w:val="20"/>
              </w:rPr>
              <w:t>●</w:t>
            </w:r>
          </w:p>
        </w:tc>
        <w:tc>
          <w:tcPr>
            <w:tcW w:w="708" w:type="dxa"/>
            <w:noWrap/>
            <w:vAlign w:val="center"/>
          </w:tcPr>
          <w:p>
            <w:pPr>
              <w:jc w:val="center"/>
              <w:rPr>
                <w:rFonts w:hint="eastAsia" w:ascii="仿宋_GB2312"/>
                <w:sz w:val="20"/>
              </w:rPr>
            </w:pPr>
          </w:p>
        </w:tc>
        <w:tc>
          <w:tcPr>
            <w:tcW w:w="709" w:type="dxa"/>
            <w:noWrap/>
            <w:vAlign w:val="center"/>
          </w:tcPr>
          <w:p>
            <w:pPr>
              <w:adjustRightInd w:val="0"/>
              <w:snapToGrid w:val="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0" w:type="dxa"/>
            <w:noWrap/>
            <w:vAlign w:val="center"/>
          </w:tcPr>
          <w:p>
            <w:pPr>
              <w:adjustRightInd w:val="0"/>
              <w:snapToGrid w:val="0"/>
              <w:jc w:val="center"/>
              <w:rPr>
                <w:rFonts w:hint="eastAsia" w:ascii="仿宋_GB2312"/>
                <w:sz w:val="24"/>
              </w:rPr>
            </w:pPr>
            <w:r>
              <w:rPr>
                <w:rFonts w:hint="eastAsia" w:ascii="仿宋_GB2312"/>
                <w:sz w:val="24"/>
              </w:rPr>
              <w:t>7</w:t>
            </w:r>
          </w:p>
        </w:tc>
        <w:tc>
          <w:tcPr>
            <w:tcW w:w="2440" w:type="dxa"/>
            <w:noWrap/>
            <w:vAlign w:val="center"/>
          </w:tcPr>
          <w:p>
            <w:pPr>
              <w:jc w:val="center"/>
              <w:rPr>
                <w:rFonts w:hint="eastAsia" w:ascii="仿宋_GB2312"/>
                <w:sz w:val="24"/>
              </w:rPr>
            </w:pPr>
            <w:r>
              <w:rPr>
                <w:rFonts w:hint="eastAsia" w:ascii="仿宋_GB2312"/>
                <w:sz w:val="24"/>
              </w:rPr>
              <w:t>附加顶焦度（D）</w:t>
            </w:r>
          </w:p>
        </w:tc>
        <w:tc>
          <w:tcPr>
            <w:tcW w:w="2390" w:type="dxa"/>
            <w:noWrap/>
            <w:vAlign w:val="center"/>
          </w:tcPr>
          <w:p>
            <w:pPr>
              <w:adjustRightInd w:val="0"/>
              <w:snapToGrid w:val="0"/>
              <w:jc w:val="center"/>
              <w:rPr>
                <w:rFonts w:hint="eastAsia" w:ascii="仿宋_GB2312"/>
                <w:spacing w:val="-6"/>
                <w:sz w:val="24"/>
              </w:rPr>
            </w:pPr>
            <w:r>
              <w:rPr>
                <w:rFonts w:hint="eastAsia" w:ascii="仿宋_GB2312"/>
                <w:spacing w:val="-6"/>
                <w:sz w:val="24"/>
              </w:rPr>
              <w:t>GB 10810.1-2005 6.4</w:t>
            </w:r>
          </w:p>
        </w:tc>
        <w:tc>
          <w:tcPr>
            <w:tcW w:w="798" w:type="dxa"/>
            <w:noWrap/>
            <w:vAlign w:val="center"/>
          </w:tcPr>
          <w:p>
            <w:pPr>
              <w:jc w:val="center"/>
              <w:rPr>
                <w:rFonts w:hint="eastAsia" w:ascii="仿宋_GB2312"/>
                <w:sz w:val="20"/>
              </w:rPr>
            </w:pPr>
            <w:r>
              <w:rPr>
                <w:rFonts w:hint="eastAsia" w:ascii="仿宋_GB2312"/>
                <w:sz w:val="20"/>
              </w:rPr>
              <w:t>●</w:t>
            </w:r>
          </w:p>
        </w:tc>
        <w:tc>
          <w:tcPr>
            <w:tcW w:w="709" w:type="dxa"/>
            <w:noWrap/>
            <w:vAlign w:val="center"/>
          </w:tcPr>
          <w:p>
            <w:pPr>
              <w:jc w:val="center"/>
              <w:rPr>
                <w:rFonts w:hint="eastAsia" w:ascii="仿宋_GB2312"/>
                <w:sz w:val="20"/>
              </w:rPr>
            </w:pPr>
          </w:p>
        </w:tc>
        <w:tc>
          <w:tcPr>
            <w:tcW w:w="709" w:type="dxa"/>
            <w:noWrap/>
            <w:vAlign w:val="center"/>
          </w:tcPr>
          <w:p>
            <w:pPr>
              <w:adjustRightInd w:val="0"/>
              <w:snapToGrid w:val="0"/>
              <w:jc w:val="center"/>
              <w:rPr>
                <w:rFonts w:hint="eastAsia" w:ascii="仿宋_GB2312"/>
                <w:sz w:val="18"/>
                <w:szCs w:val="18"/>
              </w:rPr>
            </w:pPr>
            <w:r>
              <w:rPr>
                <w:rFonts w:hint="eastAsia" w:ascii="仿宋_GB2312"/>
                <w:sz w:val="20"/>
              </w:rPr>
              <w:t>●</w:t>
            </w:r>
          </w:p>
        </w:tc>
        <w:tc>
          <w:tcPr>
            <w:tcW w:w="708" w:type="dxa"/>
            <w:noWrap/>
            <w:vAlign w:val="center"/>
          </w:tcPr>
          <w:p>
            <w:pPr>
              <w:adjustRightInd w:val="0"/>
              <w:snapToGrid w:val="0"/>
              <w:jc w:val="center"/>
              <w:rPr>
                <w:rFonts w:hint="eastAsia" w:ascii="仿宋_GB2312"/>
                <w:sz w:val="18"/>
                <w:szCs w:val="18"/>
              </w:rPr>
            </w:pPr>
          </w:p>
        </w:tc>
        <w:tc>
          <w:tcPr>
            <w:tcW w:w="709" w:type="dxa"/>
            <w:noWrap/>
            <w:vAlign w:val="center"/>
          </w:tcPr>
          <w:p>
            <w:pPr>
              <w:adjustRightInd w:val="0"/>
              <w:snapToGrid w:val="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0" w:type="dxa"/>
            <w:noWrap/>
            <w:vAlign w:val="center"/>
          </w:tcPr>
          <w:p>
            <w:pPr>
              <w:adjustRightInd w:val="0"/>
              <w:snapToGrid w:val="0"/>
              <w:jc w:val="center"/>
              <w:rPr>
                <w:rFonts w:hint="eastAsia" w:ascii="仿宋_GB2312"/>
                <w:sz w:val="24"/>
              </w:rPr>
            </w:pPr>
            <w:r>
              <w:rPr>
                <w:rFonts w:hint="eastAsia" w:ascii="仿宋_GB2312"/>
                <w:sz w:val="24"/>
              </w:rPr>
              <w:t>8</w:t>
            </w:r>
          </w:p>
        </w:tc>
        <w:tc>
          <w:tcPr>
            <w:tcW w:w="2440" w:type="dxa"/>
            <w:noWrap/>
            <w:vAlign w:val="center"/>
          </w:tcPr>
          <w:p>
            <w:pPr>
              <w:jc w:val="center"/>
              <w:rPr>
                <w:rFonts w:hint="eastAsia" w:ascii="仿宋_GB2312"/>
                <w:sz w:val="24"/>
              </w:rPr>
            </w:pPr>
            <w:r>
              <w:rPr>
                <w:rFonts w:hint="eastAsia" w:ascii="仿宋_GB2312"/>
                <w:sz w:val="24"/>
              </w:rPr>
              <w:t>光学中心单侧水平允差（mm）</w:t>
            </w:r>
          </w:p>
        </w:tc>
        <w:tc>
          <w:tcPr>
            <w:tcW w:w="2390" w:type="dxa"/>
            <w:noWrap/>
            <w:vAlign w:val="center"/>
          </w:tcPr>
          <w:p>
            <w:pPr>
              <w:adjustRightInd w:val="0"/>
              <w:snapToGrid w:val="0"/>
              <w:jc w:val="center"/>
              <w:rPr>
                <w:rFonts w:hint="eastAsia" w:ascii="仿宋_GB2312"/>
                <w:spacing w:val="-6"/>
                <w:sz w:val="24"/>
              </w:rPr>
            </w:pPr>
            <w:r>
              <w:rPr>
                <w:rFonts w:hint="eastAsia" w:ascii="仿宋_GB2312"/>
                <w:spacing w:val="-6"/>
                <w:sz w:val="24"/>
              </w:rPr>
              <w:t>GB 13511.1-2011 6.4</w:t>
            </w:r>
          </w:p>
        </w:tc>
        <w:tc>
          <w:tcPr>
            <w:tcW w:w="798" w:type="dxa"/>
            <w:noWrap/>
            <w:vAlign w:val="center"/>
          </w:tcPr>
          <w:p>
            <w:pPr>
              <w:jc w:val="center"/>
              <w:rPr>
                <w:rFonts w:hint="eastAsia" w:ascii="仿宋_GB2312"/>
                <w:sz w:val="20"/>
              </w:rPr>
            </w:pPr>
            <w:r>
              <w:rPr>
                <w:rFonts w:hint="eastAsia" w:ascii="仿宋_GB2312"/>
                <w:sz w:val="20"/>
              </w:rPr>
              <w:t>●</w:t>
            </w:r>
          </w:p>
        </w:tc>
        <w:tc>
          <w:tcPr>
            <w:tcW w:w="709" w:type="dxa"/>
            <w:noWrap/>
            <w:vAlign w:val="center"/>
          </w:tcPr>
          <w:p>
            <w:pPr>
              <w:jc w:val="center"/>
              <w:rPr>
                <w:rFonts w:hint="eastAsia" w:ascii="仿宋_GB2312"/>
                <w:sz w:val="20"/>
              </w:rPr>
            </w:pPr>
          </w:p>
        </w:tc>
        <w:tc>
          <w:tcPr>
            <w:tcW w:w="709" w:type="dxa"/>
            <w:noWrap/>
            <w:vAlign w:val="center"/>
          </w:tcPr>
          <w:p>
            <w:pPr>
              <w:jc w:val="center"/>
              <w:rPr>
                <w:rFonts w:hint="eastAsia" w:ascii="仿宋_GB2312"/>
                <w:sz w:val="20"/>
              </w:rPr>
            </w:pPr>
            <w:r>
              <w:rPr>
                <w:rFonts w:hint="eastAsia" w:ascii="仿宋_GB2312"/>
                <w:sz w:val="20"/>
              </w:rPr>
              <w:t>●</w:t>
            </w:r>
          </w:p>
        </w:tc>
        <w:tc>
          <w:tcPr>
            <w:tcW w:w="708" w:type="dxa"/>
            <w:noWrap/>
            <w:vAlign w:val="center"/>
          </w:tcPr>
          <w:p>
            <w:pPr>
              <w:jc w:val="center"/>
              <w:rPr>
                <w:rFonts w:hint="eastAsia" w:ascii="仿宋_GB2312"/>
                <w:sz w:val="20"/>
              </w:rPr>
            </w:pPr>
          </w:p>
        </w:tc>
        <w:tc>
          <w:tcPr>
            <w:tcW w:w="709" w:type="dxa"/>
            <w:noWrap/>
            <w:vAlign w:val="center"/>
          </w:tcPr>
          <w:p>
            <w:pPr>
              <w:adjustRightInd w:val="0"/>
              <w:snapToGrid w:val="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0" w:type="dxa"/>
            <w:noWrap/>
            <w:vAlign w:val="center"/>
          </w:tcPr>
          <w:p>
            <w:pPr>
              <w:adjustRightInd w:val="0"/>
              <w:snapToGrid w:val="0"/>
              <w:jc w:val="center"/>
              <w:rPr>
                <w:rFonts w:hint="eastAsia" w:ascii="仿宋_GB2312"/>
                <w:sz w:val="24"/>
              </w:rPr>
            </w:pPr>
            <w:r>
              <w:rPr>
                <w:rFonts w:hint="eastAsia" w:ascii="仿宋_GB2312"/>
                <w:sz w:val="24"/>
              </w:rPr>
              <w:t>9</w:t>
            </w:r>
          </w:p>
        </w:tc>
        <w:tc>
          <w:tcPr>
            <w:tcW w:w="2440" w:type="dxa"/>
            <w:noWrap/>
            <w:vAlign w:val="center"/>
          </w:tcPr>
          <w:p>
            <w:pPr>
              <w:jc w:val="center"/>
              <w:rPr>
                <w:rFonts w:hint="eastAsia" w:ascii="仿宋_GB2312"/>
                <w:sz w:val="24"/>
              </w:rPr>
            </w:pPr>
            <w:r>
              <w:rPr>
                <w:rFonts w:hint="eastAsia" w:ascii="仿宋_GB2312"/>
                <w:sz w:val="24"/>
              </w:rPr>
              <w:t>光学中心垂直互差（mm）</w:t>
            </w:r>
          </w:p>
        </w:tc>
        <w:tc>
          <w:tcPr>
            <w:tcW w:w="2390" w:type="dxa"/>
            <w:noWrap/>
            <w:vAlign w:val="center"/>
          </w:tcPr>
          <w:p>
            <w:pPr>
              <w:adjustRightInd w:val="0"/>
              <w:snapToGrid w:val="0"/>
              <w:jc w:val="center"/>
              <w:rPr>
                <w:rFonts w:hint="eastAsia" w:ascii="仿宋_GB2312"/>
                <w:spacing w:val="-6"/>
                <w:sz w:val="24"/>
              </w:rPr>
            </w:pPr>
            <w:r>
              <w:rPr>
                <w:rFonts w:hint="eastAsia" w:ascii="仿宋_GB2312"/>
                <w:spacing w:val="-6"/>
                <w:sz w:val="24"/>
              </w:rPr>
              <w:t>GB 13511.1-2011 6.4</w:t>
            </w:r>
          </w:p>
        </w:tc>
        <w:tc>
          <w:tcPr>
            <w:tcW w:w="798" w:type="dxa"/>
            <w:noWrap/>
            <w:vAlign w:val="center"/>
          </w:tcPr>
          <w:p>
            <w:pPr>
              <w:jc w:val="center"/>
              <w:rPr>
                <w:rFonts w:hint="eastAsia" w:ascii="仿宋_GB2312"/>
                <w:sz w:val="20"/>
              </w:rPr>
            </w:pPr>
            <w:r>
              <w:rPr>
                <w:rFonts w:hint="eastAsia" w:ascii="仿宋_GB2312"/>
                <w:sz w:val="20"/>
              </w:rPr>
              <w:t>●</w:t>
            </w:r>
          </w:p>
        </w:tc>
        <w:tc>
          <w:tcPr>
            <w:tcW w:w="709" w:type="dxa"/>
            <w:noWrap/>
            <w:vAlign w:val="center"/>
          </w:tcPr>
          <w:p>
            <w:pPr>
              <w:jc w:val="center"/>
              <w:rPr>
                <w:rFonts w:hint="eastAsia" w:ascii="仿宋_GB2312"/>
                <w:sz w:val="20"/>
              </w:rPr>
            </w:pPr>
          </w:p>
        </w:tc>
        <w:tc>
          <w:tcPr>
            <w:tcW w:w="709" w:type="dxa"/>
            <w:noWrap/>
            <w:vAlign w:val="center"/>
          </w:tcPr>
          <w:p>
            <w:pPr>
              <w:jc w:val="center"/>
              <w:rPr>
                <w:rFonts w:hint="eastAsia" w:ascii="仿宋_GB2312"/>
                <w:sz w:val="20"/>
              </w:rPr>
            </w:pPr>
            <w:r>
              <w:rPr>
                <w:rFonts w:hint="eastAsia" w:ascii="仿宋_GB2312"/>
                <w:sz w:val="20"/>
              </w:rPr>
              <w:t>●</w:t>
            </w:r>
          </w:p>
        </w:tc>
        <w:tc>
          <w:tcPr>
            <w:tcW w:w="708" w:type="dxa"/>
            <w:noWrap/>
            <w:vAlign w:val="center"/>
          </w:tcPr>
          <w:p>
            <w:pPr>
              <w:jc w:val="center"/>
              <w:rPr>
                <w:rFonts w:hint="eastAsia" w:ascii="仿宋_GB2312"/>
                <w:sz w:val="20"/>
              </w:rPr>
            </w:pPr>
          </w:p>
        </w:tc>
        <w:tc>
          <w:tcPr>
            <w:tcW w:w="709" w:type="dxa"/>
            <w:noWrap/>
            <w:vAlign w:val="center"/>
          </w:tcPr>
          <w:p>
            <w:pPr>
              <w:adjustRightInd w:val="0"/>
              <w:snapToGrid w:val="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0" w:type="dxa"/>
            <w:noWrap/>
            <w:vAlign w:val="center"/>
          </w:tcPr>
          <w:p>
            <w:pPr>
              <w:adjustRightInd w:val="0"/>
              <w:snapToGrid w:val="0"/>
              <w:jc w:val="center"/>
              <w:rPr>
                <w:rFonts w:hint="eastAsia" w:ascii="仿宋_GB2312"/>
                <w:sz w:val="24"/>
              </w:rPr>
            </w:pPr>
            <w:r>
              <w:rPr>
                <w:rFonts w:hint="eastAsia" w:ascii="仿宋_GB2312"/>
                <w:sz w:val="24"/>
              </w:rPr>
              <w:t>10</w:t>
            </w:r>
          </w:p>
        </w:tc>
        <w:tc>
          <w:tcPr>
            <w:tcW w:w="2440" w:type="dxa"/>
            <w:noWrap/>
            <w:vAlign w:val="center"/>
          </w:tcPr>
          <w:p>
            <w:pPr>
              <w:jc w:val="center"/>
              <w:rPr>
                <w:rFonts w:hint="eastAsia" w:ascii="仿宋_GB2312"/>
                <w:sz w:val="24"/>
              </w:rPr>
            </w:pPr>
            <w:r>
              <w:rPr>
                <w:rFonts w:hint="eastAsia" w:ascii="仿宋_GB2312"/>
                <w:sz w:val="24"/>
              </w:rPr>
              <w:t>光学中心水平距离偏差（mm）</w:t>
            </w:r>
          </w:p>
        </w:tc>
        <w:tc>
          <w:tcPr>
            <w:tcW w:w="2390" w:type="dxa"/>
            <w:noWrap/>
            <w:vAlign w:val="center"/>
          </w:tcPr>
          <w:p>
            <w:pPr>
              <w:adjustRightInd w:val="0"/>
              <w:snapToGrid w:val="0"/>
              <w:jc w:val="center"/>
              <w:rPr>
                <w:rFonts w:hint="eastAsia" w:ascii="仿宋_GB2312"/>
                <w:spacing w:val="-6"/>
                <w:sz w:val="24"/>
              </w:rPr>
            </w:pPr>
            <w:r>
              <w:rPr>
                <w:rFonts w:hint="eastAsia" w:ascii="仿宋_GB2312"/>
                <w:spacing w:val="-6"/>
                <w:sz w:val="24"/>
              </w:rPr>
              <w:t>GB 13511.1-2011 6.4</w:t>
            </w:r>
          </w:p>
        </w:tc>
        <w:tc>
          <w:tcPr>
            <w:tcW w:w="798" w:type="dxa"/>
            <w:noWrap/>
            <w:vAlign w:val="center"/>
          </w:tcPr>
          <w:p>
            <w:pPr>
              <w:jc w:val="center"/>
              <w:rPr>
                <w:rFonts w:hint="eastAsia" w:ascii="仿宋_GB2312"/>
                <w:sz w:val="20"/>
              </w:rPr>
            </w:pPr>
            <w:r>
              <w:rPr>
                <w:rFonts w:hint="eastAsia" w:ascii="仿宋_GB2312"/>
                <w:sz w:val="20"/>
              </w:rPr>
              <w:t>●</w:t>
            </w:r>
          </w:p>
        </w:tc>
        <w:tc>
          <w:tcPr>
            <w:tcW w:w="709" w:type="dxa"/>
            <w:noWrap/>
            <w:vAlign w:val="center"/>
          </w:tcPr>
          <w:p>
            <w:pPr>
              <w:jc w:val="center"/>
              <w:rPr>
                <w:rFonts w:hint="eastAsia" w:ascii="仿宋_GB2312"/>
                <w:sz w:val="20"/>
              </w:rPr>
            </w:pPr>
          </w:p>
        </w:tc>
        <w:tc>
          <w:tcPr>
            <w:tcW w:w="709" w:type="dxa"/>
            <w:noWrap/>
            <w:vAlign w:val="center"/>
          </w:tcPr>
          <w:p>
            <w:pPr>
              <w:jc w:val="center"/>
              <w:rPr>
                <w:rFonts w:hint="eastAsia" w:ascii="仿宋_GB2312"/>
                <w:sz w:val="20"/>
              </w:rPr>
            </w:pPr>
            <w:r>
              <w:rPr>
                <w:rFonts w:hint="eastAsia" w:ascii="仿宋_GB2312"/>
                <w:sz w:val="20"/>
              </w:rPr>
              <w:t>●</w:t>
            </w:r>
          </w:p>
        </w:tc>
        <w:tc>
          <w:tcPr>
            <w:tcW w:w="708" w:type="dxa"/>
            <w:noWrap/>
            <w:vAlign w:val="center"/>
          </w:tcPr>
          <w:p>
            <w:pPr>
              <w:jc w:val="center"/>
              <w:rPr>
                <w:rFonts w:hint="eastAsia" w:ascii="仿宋_GB2312"/>
                <w:sz w:val="20"/>
              </w:rPr>
            </w:pPr>
          </w:p>
        </w:tc>
        <w:tc>
          <w:tcPr>
            <w:tcW w:w="709" w:type="dxa"/>
            <w:noWrap/>
            <w:vAlign w:val="center"/>
          </w:tcPr>
          <w:p>
            <w:pPr>
              <w:adjustRightInd w:val="0"/>
              <w:snapToGrid w:val="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0" w:type="dxa"/>
            <w:noWrap/>
            <w:vAlign w:val="center"/>
          </w:tcPr>
          <w:p>
            <w:pPr>
              <w:adjustRightInd w:val="0"/>
              <w:snapToGrid w:val="0"/>
              <w:jc w:val="center"/>
              <w:rPr>
                <w:rFonts w:hint="eastAsia" w:ascii="仿宋_GB2312"/>
                <w:sz w:val="24"/>
              </w:rPr>
            </w:pPr>
            <w:r>
              <w:rPr>
                <w:rFonts w:hint="eastAsia" w:ascii="仿宋_GB2312"/>
                <w:sz w:val="24"/>
              </w:rPr>
              <w:t>11</w:t>
            </w:r>
          </w:p>
        </w:tc>
        <w:tc>
          <w:tcPr>
            <w:tcW w:w="2440" w:type="dxa"/>
            <w:noWrap/>
            <w:vAlign w:val="center"/>
          </w:tcPr>
          <w:p>
            <w:pPr>
              <w:jc w:val="center"/>
              <w:rPr>
                <w:rFonts w:hint="eastAsia" w:ascii="仿宋_GB2312"/>
                <w:sz w:val="24"/>
              </w:rPr>
            </w:pPr>
            <w:r>
              <w:rPr>
                <w:rFonts w:hint="eastAsia" w:ascii="仿宋_GB2312"/>
                <w:sz w:val="24"/>
              </w:rPr>
              <w:t>可见光谱区透射比（%）</w:t>
            </w:r>
          </w:p>
        </w:tc>
        <w:tc>
          <w:tcPr>
            <w:tcW w:w="2390" w:type="dxa"/>
            <w:noWrap/>
            <w:vAlign w:val="center"/>
          </w:tcPr>
          <w:p>
            <w:pPr>
              <w:adjustRightInd w:val="0"/>
              <w:snapToGrid w:val="0"/>
              <w:jc w:val="center"/>
              <w:rPr>
                <w:rFonts w:hint="eastAsia" w:ascii="仿宋_GB2312"/>
                <w:spacing w:val="-6"/>
                <w:sz w:val="24"/>
              </w:rPr>
            </w:pPr>
            <w:r>
              <w:rPr>
                <w:rFonts w:hint="eastAsia" w:ascii="仿宋_GB2312"/>
                <w:spacing w:val="-6"/>
                <w:sz w:val="24"/>
              </w:rPr>
              <w:t>GB 10810.3-2006 6.4</w:t>
            </w:r>
          </w:p>
        </w:tc>
        <w:tc>
          <w:tcPr>
            <w:tcW w:w="798" w:type="dxa"/>
            <w:noWrap/>
            <w:vAlign w:val="center"/>
          </w:tcPr>
          <w:p>
            <w:pPr>
              <w:jc w:val="center"/>
              <w:rPr>
                <w:rFonts w:hint="eastAsia" w:ascii="仿宋_GB2312"/>
                <w:sz w:val="20"/>
              </w:rPr>
            </w:pPr>
            <w:r>
              <w:rPr>
                <w:rFonts w:hint="eastAsia" w:ascii="仿宋_GB2312"/>
                <w:sz w:val="20"/>
              </w:rPr>
              <w:t>●</w:t>
            </w:r>
          </w:p>
        </w:tc>
        <w:tc>
          <w:tcPr>
            <w:tcW w:w="709" w:type="dxa"/>
            <w:noWrap/>
            <w:vAlign w:val="center"/>
          </w:tcPr>
          <w:p>
            <w:pPr>
              <w:jc w:val="center"/>
              <w:rPr>
                <w:rFonts w:hint="eastAsia" w:ascii="仿宋_GB2312"/>
                <w:sz w:val="20"/>
              </w:rPr>
            </w:pPr>
          </w:p>
        </w:tc>
        <w:tc>
          <w:tcPr>
            <w:tcW w:w="709" w:type="dxa"/>
            <w:noWrap/>
            <w:vAlign w:val="center"/>
          </w:tcPr>
          <w:p>
            <w:pPr>
              <w:adjustRightInd w:val="0"/>
              <w:snapToGrid w:val="0"/>
              <w:jc w:val="center"/>
              <w:rPr>
                <w:rFonts w:hint="eastAsia" w:ascii="仿宋_GB2312"/>
                <w:sz w:val="18"/>
                <w:szCs w:val="18"/>
              </w:rPr>
            </w:pPr>
          </w:p>
        </w:tc>
        <w:tc>
          <w:tcPr>
            <w:tcW w:w="708" w:type="dxa"/>
            <w:noWrap/>
            <w:vAlign w:val="center"/>
          </w:tcPr>
          <w:p>
            <w:pPr>
              <w:adjustRightInd w:val="0"/>
              <w:snapToGrid w:val="0"/>
              <w:jc w:val="center"/>
              <w:rPr>
                <w:rFonts w:hint="eastAsia" w:ascii="仿宋_GB2312"/>
                <w:sz w:val="18"/>
                <w:szCs w:val="18"/>
              </w:rPr>
            </w:pPr>
            <w:r>
              <w:rPr>
                <w:rFonts w:hint="eastAsia" w:ascii="仿宋_GB2312"/>
                <w:sz w:val="20"/>
              </w:rPr>
              <w:t>●</w:t>
            </w:r>
          </w:p>
        </w:tc>
        <w:tc>
          <w:tcPr>
            <w:tcW w:w="709" w:type="dxa"/>
            <w:noWrap/>
            <w:vAlign w:val="center"/>
          </w:tcPr>
          <w:p>
            <w:pPr>
              <w:adjustRightInd w:val="0"/>
              <w:snapToGrid w:val="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0" w:type="dxa"/>
            <w:noWrap/>
            <w:vAlign w:val="center"/>
          </w:tcPr>
          <w:p>
            <w:pPr>
              <w:adjustRightInd w:val="0"/>
              <w:snapToGrid w:val="0"/>
              <w:jc w:val="center"/>
              <w:rPr>
                <w:rFonts w:hint="eastAsia" w:ascii="仿宋_GB2312"/>
                <w:sz w:val="24"/>
              </w:rPr>
            </w:pPr>
            <w:r>
              <w:rPr>
                <w:rFonts w:hint="eastAsia" w:ascii="仿宋_GB2312"/>
                <w:sz w:val="24"/>
              </w:rPr>
              <w:t>12</w:t>
            </w:r>
          </w:p>
        </w:tc>
        <w:tc>
          <w:tcPr>
            <w:tcW w:w="2440" w:type="dxa"/>
            <w:noWrap/>
            <w:vAlign w:val="center"/>
          </w:tcPr>
          <w:p>
            <w:pPr>
              <w:jc w:val="center"/>
              <w:rPr>
                <w:rFonts w:hint="eastAsia" w:ascii="仿宋_GB2312"/>
                <w:sz w:val="24"/>
              </w:rPr>
            </w:pPr>
            <w:r>
              <w:rPr>
                <w:rFonts w:hint="eastAsia" w:ascii="仿宋_GB2312"/>
                <w:sz w:val="24"/>
              </w:rPr>
              <w:t>紫外光谱区透射比（%）</w:t>
            </w:r>
          </w:p>
        </w:tc>
        <w:tc>
          <w:tcPr>
            <w:tcW w:w="2390" w:type="dxa"/>
            <w:noWrap/>
            <w:vAlign w:val="center"/>
          </w:tcPr>
          <w:p>
            <w:pPr>
              <w:adjustRightInd w:val="0"/>
              <w:snapToGrid w:val="0"/>
              <w:jc w:val="center"/>
              <w:rPr>
                <w:rFonts w:hint="eastAsia" w:ascii="仿宋_GB2312"/>
                <w:spacing w:val="-6"/>
                <w:sz w:val="24"/>
              </w:rPr>
            </w:pPr>
            <w:r>
              <w:rPr>
                <w:rFonts w:hint="eastAsia" w:ascii="仿宋_GB2312"/>
                <w:spacing w:val="-6"/>
                <w:sz w:val="24"/>
              </w:rPr>
              <w:t>GB 10810.3-2006 6.5</w:t>
            </w:r>
          </w:p>
        </w:tc>
        <w:tc>
          <w:tcPr>
            <w:tcW w:w="798" w:type="dxa"/>
            <w:noWrap/>
            <w:vAlign w:val="center"/>
          </w:tcPr>
          <w:p>
            <w:pPr>
              <w:jc w:val="center"/>
              <w:rPr>
                <w:rFonts w:hint="eastAsia" w:ascii="仿宋_GB2312"/>
                <w:sz w:val="20"/>
              </w:rPr>
            </w:pPr>
            <w:r>
              <w:rPr>
                <w:rFonts w:hint="eastAsia" w:ascii="仿宋_GB2312"/>
                <w:sz w:val="20"/>
              </w:rPr>
              <w:t>●</w:t>
            </w:r>
          </w:p>
        </w:tc>
        <w:tc>
          <w:tcPr>
            <w:tcW w:w="709" w:type="dxa"/>
            <w:noWrap/>
            <w:vAlign w:val="center"/>
          </w:tcPr>
          <w:p>
            <w:pPr>
              <w:jc w:val="center"/>
              <w:rPr>
                <w:rFonts w:hint="eastAsia" w:ascii="仿宋_GB2312"/>
                <w:sz w:val="20"/>
              </w:rPr>
            </w:pPr>
          </w:p>
        </w:tc>
        <w:tc>
          <w:tcPr>
            <w:tcW w:w="709" w:type="dxa"/>
            <w:noWrap/>
            <w:vAlign w:val="center"/>
          </w:tcPr>
          <w:p>
            <w:pPr>
              <w:adjustRightInd w:val="0"/>
              <w:snapToGrid w:val="0"/>
              <w:jc w:val="center"/>
              <w:rPr>
                <w:rFonts w:hint="eastAsia" w:ascii="仿宋_GB2312"/>
                <w:sz w:val="20"/>
              </w:rPr>
            </w:pPr>
          </w:p>
        </w:tc>
        <w:tc>
          <w:tcPr>
            <w:tcW w:w="708" w:type="dxa"/>
            <w:noWrap/>
            <w:vAlign w:val="center"/>
          </w:tcPr>
          <w:p>
            <w:pPr>
              <w:adjustRightInd w:val="0"/>
              <w:snapToGrid w:val="0"/>
              <w:jc w:val="center"/>
              <w:rPr>
                <w:rFonts w:hint="eastAsia" w:ascii="仿宋_GB2312"/>
                <w:sz w:val="18"/>
                <w:szCs w:val="18"/>
              </w:rPr>
            </w:pPr>
            <w:r>
              <w:rPr>
                <w:rFonts w:hint="eastAsia" w:ascii="仿宋_GB2312"/>
                <w:sz w:val="20"/>
              </w:rPr>
              <w:t>●</w:t>
            </w:r>
          </w:p>
        </w:tc>
        <w:tc>
          <w:tcPr>
            <w:tcW w:w="709" w:type="dxa"/>
            <w:noWrap/>
            <w:vAlign w:val="center"/>
          </w:tcPr>
          <w:p>
            <w:pPr>
              <w:adjustRightInd w:val="0"/>
              <w:snapToGrid w:val="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0" w:type="dxa"/>
            <w:noWrap/>
            <w:vAlign w:val="center"/>
          </w:tcPr>
          <w:p>
            <w:pPr>
              <w:adjustRightInd w:val="0"/>
              <w:snapToGrid w:val="0"/>
              <w:jc w:val="center"/>
              <w:rPr>
                <w:rFonts w:hint="eastAsia" w:ascii="仿宋_GB2312"/>
                <w:sz w:val="24"/>
              </w:rPr>
            </w:pPr>
            <w:r>
              <w:rPr>
                <w:rFonts w:hint="eastAsia" w:ascii="仿宋_GB2312"/>
                <w:sz w:val="24"/>
              </w:rPr>
              <w:t>13</w:t>
            </w:r>
          </w:p>
        </w:tc>
        <w:tc>
          <w:tcPr>
            <w:tcW w:w="2440" w:type="dxa"/>
            <w:noWrap/>
            <w:vAlign w:val="center"/>
          </w:tcPr>
          <w:p>
            <w:pPr>
              <w:jc w:val="center"/>
              <w:rPr>
                <w:rFonts w:hint="eastAsia" w:ascii="仿宋_GB2312"/>
                <w:sz w:val="24"/>
              </w:rPr>
            </w:pPr>
            <w:r>
              <w:rPr>
                <w:rFonts w:hint="eastAsia" w:ascii="仿宋_GB2312"/>
                <w:sz w:val="24"/>
              </w:rPr>
              <w:t>镜片厚度</w:t>
            </w:r>
          </w:p>
        </w:tc>
        <w:tc>
          <w:tcPr>
            <w:tcW w:w="2390" w:type="dxa"/>
            <w:noWrap/>
            <w:vAlign w:val="center"/>
          </w:tcPr>
          <w:p>
            <w:pPr>
              <w:adjustRightInd w:val="0"/>
              <w:snapToGrid w:val="0"/>
              <w:jc w:val="center"/>
              <w:rPr>
                <w:rFonts w:hint="eastAsia" w:ascii="仿宋_GB2312"/>
                <w:spacing w:val="-6"/>
                <w:sz w:val="24"/>
              </w:rPr>
            </w:pPr>
            <w:r>
              <w:rPr>
                <w:rFonts w:hint="eastAsia" w:ascii="仿宋_GB2312"/>
                <w:spacing w:val="-6"/>
                <w:sz w:val="24"/>
              </w:rPr>
              <w:t>GB 10810.1-2005 5.2.2</w:t>
            </w:r>
          </w:p>
        </w:tc>
        <w:tc>
          <w:tcPr>
            <w:tcW w:w="798" w:type="dxa"/>
            <w:noWrap/>
            <w:vAlign w:val="center"/>
          </w:tcPr>
          <w:p>
            <w:pPr>
              <w:jc w:val="center"/>
              <w:rPr>
                <w:rFonts w:hint="eastAsia" w:ascii="仿宋_GB2312"/>
                <w:sz w:val="20"/>
              </w:rPr>
            </w:pPr>
            <w:r>
              <w:rPr>
                <w:rFonts w:hint="eastAsia" w:ascii="仿宋_GB2312"/>
                <w:sz w:val="20"/>
              </w:rPr>
              <w:t>●</w:t>
            </w:r>
          </w:p>
        </w:tc>
        <w:tc>
          <w:tcPr>
            <w:tcW w:w="709" w:type="dxa"/>
            <w:noWrap/>
            <w:vAlign w:val="center"/>
          </w:tcPr>
          <w:p>
            <w:pPr>
              <w:jc w:val="center"/>
              <w:rPr>
                <w:rFonts w:hint="eastAsia" w:ascii="仿宋_GB2312"/>
                <w:sz w:val="20"/>
              </w:rPr>
            </w:pPr>
          </w:p>
        </w:tc>
        <w:tc>
          <w:tcPr>
            <w:tcW w:w="709" w:type="dxa"/>
            <w:noWrap/>
            <w:vAlign w:val="center"/>
          </w:tcPr>
          <w:p>
            <w:pPr>
              <w:adjustRightInd w:val="0"/>
              <w:snapToGrid w:val="0"/>
              <w:jc w:val="center"/>
              <w:rPr>
                <w:rFonts w:hint="eastAsia" w:ascii="仿宋_GB2312"/>
                <w:sz w:val="20"/>
              </w:rPr>
            </w:pPr>
          </w:p>
        </w:tc>
        <w:tc>
          <w:tcPr>
            <w:tcW w:w="708" w:type="dxa"/>
            <w:noWrap/>
            <w:vAlign w:val="center"/>
          </w:tcPr>
          <w:p>
            <w:pPr>
              <w:adjustRightInd w:val="0"/>
              <w:snapToGrid w:val="0"/>
              <w:jc w:val="center"/>
              <w:rPr>
                <w:rFonts w:hint="eastAsia" w:ascii="仿宋_GB2312"/>
                <w:sz w:val="20"/>
              </w:rPr>
            </w:pPr>
            <w:r>
              <w:rPr>
                <w:rFonts w:hint="eastAsia" w:ascii="仿宋_GB2312"/>
                <w:sz w:val="20"/>
              </w:rPr>
              <w:t>●</w:t>
            </w:r>
          </w:p>
        </w:tc>
        <w:tc>
          <w:tcPr>
            <w:tcW w:w="709" w:type="dxa"/>
            <w:noWrap/>
            <w:vAlign w:val="center"/>
          </w:tcPr>
          <w:p>
            <w:pPr>
              <w:adjustRightInd w:val="0"/>
              <w:snapToGrid w:val="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0" w:type="dxa"/>
            <w:noWrap/>
            <w:vAlign w:val="center"/>
          </w:tcPr>
          <w:p>
            <w:pPr>
              <w:adjustRightInd w:val="0"/>
              <w:snapToGrid w:val="0"/>
              <w:jc w:val="center"/>
              <w:rPr>
                <w:rFonts w:hint="eastAsia" w:ascii="仿宋_GB2312"/>
                <w:sz w:val="24"/>
              </w:rPr>
            </w:pPr>
            <w:r>
              <w:rPr>
                <w:rFonts w:hint="eastAsia" w:ascii="仿宋_GB2312"/>
                <w:sz w:val="24"/>
              </w:rPr>
              <w:t>14</w:t>
            </w:r>
          </w:p>
        </w:tc>
        <w:tc>
          <w:tcPr>
            <w:tcW w:w="2440" w:type="dxa"/>
            <w:noWrap/>
            <w:vAlign w:val="center"/>
          </w:tcPr>
          <w:p>
            <w:pPr>
              <w:jc w:val="center"/>
              <w:rPr>
                <w:rFonts w:hint="eastAsia" w:ascii="仿宋_GB2312"/>
                <w:sz w:val="24"/>
              </w:rPr>
            </w:pPr>
            <w:r>
              <w:rPr>
                <w:rFonts w:hint="eastAsia" w:ascii="仿宋_GB2312"/>
                <w:sz w:val="24"/>
              </w:rPr>
              <w:t>镜片色泽</w:t>
            </w:r>
          </w:p>
        </w:tc>
        <w:tc>
          <w:tcPr>
            <w:tcW w:w="2390" w:type="dxa"/>
            <w:noWrap/>
            <w:vAlign w:val="center"/>
          </w:tcPr>
          <w:p>
            <w:pPr>
              <w:adjustRightInd w:val="0"/>
              <w:snapToGrid w:val="0"/>
              <w:jc w:val="center"/>
              <w:rPr>
                <w:rFonts w:hint="eastAsia" w:ascii="仿宋_GB2312"/>
                <w:spacing w:val="-6"/>
                <w:sz w:val="24"/>
              </w:rPr>
            </w:pPr>
            <w:r>
              <w:rPr>
                <w:rFonts w:hint="eastAsia" w:ascii="仿宋_GB2312"/>
                <w:spacing w:val="-6"/>
                <w:sz w:val="24"/>
              </w:rPr>
              <w:t>GB 13511.1-2011 5.2</w:t>
            </w:r>
          </w:p>
        </w:tc>
        <w:tc>
          <w:tcPr>
            <w:tcW w:w="798" w:type="dxa"/>
            <w:noWrap/>
            <w:vAlign w:val="center"/>
          </w:tcPr>
          <w:p>
            <w:pPr>
              <w:jc w:val="center"/>
              <w:rPr>
                <w:rFonts w:hint="eastAsia" w:ascii="仿宋_GB2312"/>
                <w:sz w:val="20"/>
              </w:rPr>
            </w:pPr>
            <w:r>
              <w:rPr>
                <w:rFonts w:hint="eastAsia" w:ascii="仿宋_GB2312"/>
                <w:sz w:val="20"/>
              </w:rPr>
              <w:t>●</w:t>
            </w:r>
          </w:p>
        </w:tc>
        <w:tc>
          <w:tcPr>
            <w:tcW w:w="709" w:type="dxa"/>
            <w:noWrap/>
            <w:vAlign w:val="center"/>
          </w:tcPr>
          <w:p>
            <w:pPr>
              <w:jc w:val="center"/>
              <w:rPr>
                <w:rFonts w:hint="eastAsia" w:ascii="仿宋_GB2312"/>
                <w:sz w:val="20"/>
              </w:rPr>
            </w:pPr>
          </w:p>
        </w:tc>
        <w:tc>
          <w:tcPr>
            <w:tcW w:w="709" w:type="dxa"/>
            <w:noWrap/>
            <w:vAlign w:val="center"/>
          </w:tcPr>
          <w:p>
            <w:pPr>
              <w:adjustRightInd w:val="0"/>
              <w:snapToGrid w:val="0"/>
              <w:jc w:val="center"/>
              <w:rPr>
                <w:rFonts w:hint="eastAsia" w:ascii="仿宋_GB2312"/>
                <w:sz w:val="20"/>
              </w:rPr>
            </w:pPr>
          </w:p>
        </w:tc>
        <w:tc>
          <w:tcPr>
            <w:tcW w:w="708" w:type="dxa"/>
            <w:noWrap/>
            <w:vAlign w:val="center"/>
          </w:tcPr>
          <w:p>
            <w:pPr>
              <w:adjustRightInd w:val="0"/>
              <w:snapToGrid w:val="0"/>
              <w:jc w:val="center"/>
              <w:rPr>
                <w:rFonts w:hint="eastAsia" w:ascii="仿宋_GB2312"/>
                <w:sz w:val="18"/>
                <w:szCs w:val="18"/>
              </w:rPr>
            </w:pPr>
            <w:r>
              <w:rPr>
                <w:rFonts w:hint="eastAsia" w:ascii="仿宋_GB2312"/>
                <w:sz w:val="20"/>
              </w:rPr>
              <w:t>●</w:t>
            </w:r>
          </w:p>
        </w:tc>
        <w:tc>
          <w:tcPr>
            <w:tcW w:w="709" w:type="dxa"/>
            <w:noWrap/>
            <w:vAlign w:val="center"/>
          </w:tcPr>
          <w:p>
            <w:pPr>
              <w:adjustRightInd w:val="0"/>
              <w:snapToGrid w:val="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0" w:type="dxa"/>
            <w:noWrap/>
            <w:vAlign w:val="center"/>
          </w:tcPr>
          <w:p>
            <w:pPr>
              <w:adjustRightInd w:val="0"/>
              <w:snapToGrid w:val="0"/>
              <w:jc w:val="center"/>
              <w:rPr>
                <w:rFonts w:hint="eastAsia" w:ascii="仿宋_GB2312"/>
                <w:sz w:val="24"/>
              </w:rPr>
            </w:pPr>
            <w:r>
              <w:rPr>
                <w:rFonts w:hint="eastAsia" w:ascii="仿宋_GB2312"/>
                <w:sz w:val="24"/>
              </w:rPr>
              <w:t>15</w:t>
            </w:r>
          </w:p>
        </w:tc>
        <w:tc>
          <w:tcPr>
            <w:tcW w:w="2440" w:type="dxa"/>
            <w:noWrap/>
            <w:vAlign w:val="center"/>
          </w:tcPr>
          <w:p>
            <w:pPr>
              <w:jc w:val="center"/>
              <w:rPr>
                <w:rFonts w:hint="eastAsia" w:ascii="仿宋_GB2312"/>
                <w:sz w:val="24"/>
              </w:rPr>
            </w:pPr>
            <w:r>
              <w:rPr>
                <w:rFonts w:hint="eastAsia" w:ascii="仿宋_GB2312"/>
                <w:sz w:val="24"/>
              </w:rPr>
              <w:t>装配质量</w:t>
            </w:r>
          </w:p>
        </w:tc>
        <w:tc>
          <w:tcPr>
            <w:tcW w:w="2390" w:type="dxa"/>
            <w:noWrap/>
            <w:vAlign w:val="center"/>
          </w:tcPr>
          <w:p>
            <w:pPr>
              <w:adjustRightInd w:val="0"/>
              <w:snapToGrid w:val="0"/>
              <w:jc w:val="center"/>
              <w:rPr>
                <w:rFonts w:hint="eastAsia" w:ascii="仿宋_GB2312"/>
                <w:spacing w:val="-6"/>
                <w:sz w:val="24"/>
              </w:rPr>
            </w:pPr>
            <w:r>
              <w:rPr>
                <w:rFonts w:hint="eastAsia" w:ascii="仿宋_GB2312"/>
                <w:spacing w:val="-6"/>
                <w:sz w:val="24"/>
              </w:rPr>
              <w:t>GB 13511.1-2011 5.8</w:t>
            </w:r>
          </w:p>
        </w:tc>
        <w:tc>
          <w:tcPr>
            <w:tcW w:w="798" w:type="dxa"/>
            <w:noWrap/>
            <w:vAlign w:val="center"/>
          </w:tcPr>
          <w:p>
            <w:pPr>
              <w:jc w:val="center"/>
              <w:rPr>
                <w:rFonts w:hint="eastAsia" w:ascii="仿宋_GB2312"/>
                <w:sz w:val="20"/>
              </w:rPr>
            </w:pPr>
            <w:r>
              <w:rPr>
                <w:rFonts w:hint="eastAsia" w:ascii="仿宋_GB2312"/>
                <w:sz w:val="20"/>
              </w:rPr>
              <w:t>●</w:t>
            </w:r>
          </w:p>
        </w:tc>
        <w:tc>
          <w:tcPr>
            <w:tcW w:w="709" w:type="dxa"/>
            <w:noWrap/>
            <w:vAlign w:val="center"/>
          </w:tcPr>
          <w:p>
            <w:pPr>
              <w:jc w:val="center"/>
              <w:rPr>
                <w:rFonts w:hint="eastAsia" w:ascii="仿宋_GB2312"/>
                <w:sz w:val="20"/>
              </w:rPr>
            </w:pPr>
          </w:p>
        </w:tc>
        <w:tc>
          <w:tcPr>
            <w:tcW w:w="709" w:type="dxa"/>
            <w:noWrap/>
            <w:vAlign w:val="center"/>
          </w:tcPr>
          <w:p>
            <w:pPr>
              <w:adjustRightInd w:val="0"/>
              <w:snapToGrid w:val="0"/>
              <w:jc w:val="center"/>
              <w:rPr>
                <w:rFonts w:hint="eastAsia" w:ascii="仿宋_GB2312"/>
                <w:sz w:val="20"/>
              </w:rPr>
            </w:pPr>
          </w:p>
        </w:tc>
        <w:tc>
          <w:tcPr>
            <w:tcW w:w="708" w:type="dxa"/>
            <w:noWrap/>
            <w:vAlign w:val="center"/>
          </w:tcPr>
          <w:p>
            <w:pPr>
              <w:adjustRightInd w:val="0"/>
              <w:snapToGrid w:val="0"/>
              <w:jc w:val="center"/>
              <w:rPr>
                <w:rFonts w:hint="eastAsia" w:ascii="仿宋_GB2312"/>
                <w:sz w:val="20"/>
              </w:rPr>
            </w:pPr>
            <w:r>
              <w:rPr>
                <w:rFonts w:hint="eastAsia" w:ascii="仿宋_GB2312"/>
                <w:sz w:val="20"/>
              </w:rPr>
              <w:t>●</w:t>
            </w:r>
          </w:p>
        </w:tc>
        <w:tc>
          <w:tcPr>
            <w:tcW w:w="709" w:type="dxa"/>
            <w:noWrap/>
            <w:vAlign w:val="center"/>
          </w:tcPr>
          <w:p>
            <w:pPr>
              <w:adjustRightInd w:val="0"/>
              <w:snapToGrid w:val="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0" w:type="dxa"/>
            <w:noWrap/>
            <w:vAlign w:val="center"/>
          </w:tcPr>
          <w:p>
            <w:pPr>
              <w:adjustRightInd w:val="0"/>
              <w:snapToGrid w:val="0"/>
              <w:jc w:val="center"/>
              <w:rPr>
                <w:rFonts w:hint="eastAsia" w:ascii="仿宋_GB2312"/>
                <w:sz w:val="24"/>
              </w:rPr>
            </w:pPr>
            <w:r>
              <w:rPr>
                <w:rFonts w:hint="eastAsia" w:ascii="仿宋_GB2312"/>
                <w:sz w:val="24"/>
              </w:rPr>
              <w:t>16</w:t>
            </w:r>
          </w:p>
        </w:tc>
        <w:tc>
          <w:tcPr>
            <w:tcW w:w="2440" w:type="dxa"/>
            <w:noWrap/>
            <w:vAlign w:val="center"/>
          </w:tcPr>
          <w:p>
            <w:pPr>
              <w:jc w:val="center"/>
              <w:rPr>
                <w:rFonts w:hint="eastAsia" w:ascii="仿宋_GB2312"/>
                <w:sz w:val="24"/>
              </w:rPr>
            </w:pPr>
            <w:r>
              <w:rPr>
                <w:rFonts w:hint="eastAsia" w:ascii="仿宋_GB2312"/>
                <w:sz w:val="24"/>
              </w:rPr>
              <w:t>标志</w:t>
            </w:r>
          </w:p>
        </w:tc>
        <w:tc>
          <w:tcPr>
            <w:tcW w:w="2390" w:type="dxa"/>
            <w:noWrap/>
            <w:vAlign w:val="center"/>
          </w:tcPr>
          <w:p>
            <w:pPr>
              <w:adjustRightInd w:val="0"/>
              <w:snapToGrid w:val="0"/>
              <w:jc w:val="center"/>
              <w:rPr>
                <w:rFonts w:hint="eastAsia" w:ascii="仿宋_GB2312"/>
                <w:spacing w:val="-6"/>
                <w:sz w:val="24"/>
              </w:rPr>
            </w:pPr>
            <w:r>
              <w:rPr>
                <w:rFonts w:hint="eastAsia" w:ascii="仿宋_GB2312"/>
                <w:spacing w:val="-6"/>
                <w:sz w:val="24"/>
              </w:rPr>
              <w:t>GB 13511.1-2011 7.1b)</w:t>
            </w:r>
          </w:p>
        </w:tc>
        <w:tc>
          <w:tcPr>
            <w:tcW w:w="798" w:type="dxa"/>
            <w:noWrap/>
            <w:vAlign w:val="center"/>
          </w:tcPr>
          <w:p>
            <w:pPr>
              <w:jc w:val="center"/>
              <w:rPr>
                <w:rFonts w:hint="eastAsia" w:ascii="仿宋_GB2312"/>
                <w:sz w:val="20"/>
              </w:rPr>
            </w:pPr>
            <w:r>
              <w:rPr>
                <w:rFonts w:hint="eastAsia" w:ascii="仿宋_GB2312"/>
                <w:sz w:val="20"/>
              </w:rPr>
              <w:t>●</w:t>
            </w:r>
          </w:p>
        </w:tc>
        <w:tc>
          <w:tcPr>
            <w:tcW w:w="709" w:type="dxa"/>
            <w:noWrap/>
            <w:vAlign w:val="center"/>
          </w:tcPr>
          <w:p>
            <w:pPr>
              <w:jc w:val="center"/>
              <w:rPr>
                <w:rFonts w:hint="eastAsia" w:ascii="仿宋_GB2312"/>
                <w:sz w:val="20"/>
              </w:rPr>
            </w:pPr>
          </w:p>
        </w:tc>
        <w:tc>
          <w:tcPr>
            <w:tcW w:w="709" w:type="dxa"/>
            <w:noWrap/>
            <w:vAlign w:val="center"/>
          </w:tcPr>
          <w:p>
            <w:pPr>
              <w:adjustRightInd w:val="0"/>
              <w:snapToGrid w:val="0"/>
              <w:jc w:val="center"/>
              <w:rPr>
                <w:rFonts w:hint="eastAsia" w:ascii="仿宋_GB2312"/>
                <w:sz w:val="20"/>
              </w:rPr>
            </w:pPr>
          </w:p>
        </w:tc>
        <w:tc>
          <w:tcPr>
            <w:tcW w:w="708" w:type="dxa"/>
            <w:noWrap/>
            <w:vAlign w:val="center"/>
          </w:tcPr>
          <w:p>
            <w:pPr>
              <w:adjustRightInd w:val="0"/>
              <w:snapToGrid w:val="0"/>
              <w:jc w:val="center"/>
              <w:rPr>
                <w:rFonts w:hint="eastAsia" w:ascii="仿宋_GB2312"/>
                <w:sz w:val="20"/>
              </w:rPr>
            </w:pPr>
            <w:r>
              <w:rPr>
                <w:rFonts w:hint="eastAsia" w:ascii="仿宋_GB2312"/>
                <w:sz w:val="20"/>
              </w:rPr>
              <w:t>●</w:t>
            </w:r>
          </w:p>
        </w:tc>
        <w:tc>
          <w:tcPr>
            <w:tcW w:w="709" w:type="dxa"/>
            <w:noWrap/>
            <w:vAlign w:val="center"/>
          </w:tcPr>
          <w:p>
            <w:pPr>
              <w:adjustRightInd w:val="0"/>
              <w:snapToGrid w:val="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33" w:type="dxa"/>
            <w:gridSpan w:val="8"/>
            <w:noWrap/>
            <w:vAlign w:val="center"/>
          </w:tcPr>
          <w:p>
            <w:pPr>
              <w:tabs>
                <w:tab w:val="left" w:pos="360"/>
              </w:tabs>
              <w:snapToGrid w:val="0"/>
              <w:ind w:right="-28"/>
              <w:rPr>
                <w:rFonts w:hint="eastAsia" w:ascii="仿宋_GB2312"/>
                <w:sz w:val="24"/>
              </w:rPr>
            </w:pPr>
            <w:r>
              <w:rPr>
                <w:rFonts w:hint="eastAsia" w:ascii="仿宋_GB2312"/>
                <w:sz w:val="24"/>
              </w:rPr>
              <w:t>注：</w:t>
            </w:r>
          </w:p>
          <w:p>
            <w:pPr>
              <w:pStyle w:val="14"/>
              <w:numPr>
                <w:ilvl w:val="0"/>
                <w:numId w:val="1"/>
              </w:numPr>
              <w:tabs>
                <w:tab w:val="left" w:pos="360"/>
              </w:tabs>
              <w:snapToGrid w:val="0"/>
              <w:ind w:right="-28" w:firstLineChars="0"/>
              <w:rPr>
                <w:rFonts w:hint="eastAsia" w:ascii="仿宋_GB2312"/>
                <w:kern w:val="0"/>
                <w:sz w:val="24"/>
              </w:rPr>
            </w:pPr>
            <w:r>
              <w:rPr>
                <w:rFonts w:hint="eastAsia" w:ascii="仿宋_GB2312"/>
                <w:kern w:val="0"/>
                <w:sz w:val="24"/>
              </w:rPr>
              <w:t>定配眼镜所用镜片有染色时透射比应符合GB10810.3 5.3要求，使用光致变色镜片时透射比应符合GB 10810.3 5.5要求，当定配眼镜明示可适合作驾驶镜时透射比应符合GB 10810.3 5.4要求。</w:t>
            </w:r>
          </w:p>
          <w:p>
            <w:pPr>
              <w:snapToGrid w:val="0"/>
              <w:ind w:left="360" w:right="-28" w:hanging="360" w:hangingChars="150"/>
              <w:rPr>
                <w:rFonts w:hint="eastAsia" w:ascii="仿宋_GB2312"/>
                <w:kern w:val="0"/>
                <w:sz w:val="24"/>
              </w:rPr>
            </w:pPr>
            <w:r>
              <w:rPr>
                <w:rFonts w:hint="eastAsia" w:ascii="仿宋_GB2312"/>
                <w:kern w:val="0"/>
                <w:sz w:val="24"/>
              </w:rPr>
              <w:t>2、标志项目包括定配眼镜的顶焦度、轴位、瞳距等涉及处方、标准中要求有标称值的参数。</w:t>
            </w:r>
          </w:p>
          <w:p>
            <w:pPr>
              <w:tabs>
                <w:tab w:val="left" w:pos="360"/>
              </w:tabs>
              <w:snapToGrid w:val="0"/>
              <w:ind w:right="-28"/>
              <w:rPr>
                <w:rFonts w:hint="eastAsia" w:ascii="仿宋_GB2312"/>
                <w:sz w:val="24"/>
              </w:rPr>
            </w:pPr>
            <w:r>
              <w:rPr>
                <w:rFonts w:hint="eastAsia" w:ascii="仿宋_GB2312"/>
                <w:kern w:val="0"/>
                <w:sz w:val="24"/>
              </w:rPr>
              <w:t>3、当处方中包含本表中未列的参数，这些参数也应符合GB13511.1要求。</w:t>
            </w:r>
          </w:p>
        </w:tc>
      </w:tr>
    </w:tbl>
    <w:p>
      <w:pPr>
        <w:widowControl/>
        <w:ind w:firstLine="640" w:firstLineChars="200"/>
        <w:rPr>
          <w:rFonts w:hint="eastAsia" w:ascii="仿宋_GB2312" w:hAnsi="Times New Roman" w:cs="Times New Roman"/>
          <w:kern w:val="0"/>
          <w:szCs w:val="32"/>
        </w:rPr>
      </w:pPr>
      <w:r>
        <w:rPr>
          <w:rFonts w:hint="eastAsia" w:ascii="仿宋_GB2312" w:hAnsi="Times New Roman" w:cs="Times New Roman"/>
          <w:kern w:val="0"/>
          <w:szCs w:val="32"/>
        </w:rPr>
        <w:t>注：执行企业标准、团体标准、地方标准的产品，检验项目参照上述内容执行。</w:t>
      </w:r>
    </w:p>
    <w:p>
      <w:pPr>
        <w:widowControl/>
        <w:ind w:firstLine="640" w:firstLineChars="200"/>
        <w:rPr>
          <w:rFonts w:hint="eastAsia" w:ascii="仿宋_GB2312" w:hAnsi="Times New Roman" w:cs="Times New Roman"/>
          <w:kern w:val="0"/>
          <w:szCs w:val="32"/>
        </w:rPr>
      </w:pPr>
      <w:r>
        <w:rPr>
          <w:rFonts w:hint="eastAsia" w:ascii="仿宋_GB2312" w:hAnsi="Times New Roman" w:cs="Times New Roman"/>
          <w:kern w:val="0"/>
          <w:szCs w:val="32"/>
        </w:rPr>
        <w:t>凡是注日期的文件，其随后所有的修改单（不包括勘误的内容）或修订版不适用于本细则。凡是不注日期的文件，其最新版本适用于本细则。</w:t>
      </w:r>
    </w:p>
    <w:p>
      <w:pPr>
        <w:adjustRightInd w:val="0"/>
        <w:snapToGrid w:val="0"/>
        <w:ind w:firstLine="640" w:firstLineChars="200"/>
        <w:rPr>
          <w:rFonts w:eastAsia="黑体"/>
          <w:szCs w:val="32"/>
        </w:rPr>
      </w:pPr>
      <w:r>
        <w:rPr>
          <w:rFonts w:eastAsia="黑体"/>
          <w:szCs w:val="32"/>
        </w:rPr>
        <w:t>三、判定规则</w:t>
      </w:r>
    </w:p>
    <w:p>
      <w:pPr>
        <w:widowControl/>
        <w:ind w:firstLine="640" w:firstLineChars="200"/>
        <w:rPr>
          <w:rFonts w:hint="eastAsia" w:ascii="仿宋_GB2312" w:hAnsi="Times New Roman" w:cs="Times New Roman"/>
          <w:kern w:val="0"/>
          <w:szCs w:val="32"/>
        </w:rPr>
      </w:pPr>
      <w:r>
        <w:rPr>
          <w:rFonts w:hint="eastAsia" w:ascii="仿宋_GB2312" w:hAnsi="Times New Roman" w:cs="Times New Roman"/>
          <w:kern w:val="0"/>
          <w:szCs w:val="32"/>
        </w:rPr>
        <w:t>（一）依据标准</w:t>
      </w:r>
    </w:p>
    <w:p>
      <w:pPr>
        <w:widowControl/>
        <w:ind w:firstLine="640" w:firstLineChars="200"/>
        <w:rPr>
          <w:rFonts w:hint="eastAsia" w:ascii="仿宋_GB2312" w:hAnsi="Times New Roman" w:cs="Times New Roman"/>
          <w:kern w:val="0"/>
          <w:szCs w:val="32"/>
        </w:rPr>
      </w:pPr>
      <w:r>
        <w:rPr>
          <w:rFonts w:hint="eastAsia" w:ascii="仿宋_GB2312" w:hAnsi="Times New Roman" w:cs="Times New Roman"/>
          <w:kern w:val="0"/>
          <w:szCs w:val="32"/>
        </w:rPr>
        <w:t>1. 强制性标准。</w:t>
      </w:r>
    </w:p>
    <w:p>
      <w:pPr>
        <w:widowControl/>
        <w:autoSpaceDN w:val="0"/>
        <w:ind w:firstLine="640" w:firstLineChars="200"/>
        <w:rPr>
          <w:rFonts w:hint="eastAsia" w:ascii="仿宋_GB2312"/>
          <w:kern w:val="0"/>
          <w:szCs w:val="32"/>
        </w:rPr>
      </w:pPr>
      <w:r>
        <w:rPr>
          <w:rFonts w:hint="eastAsia" w:ascii="仿宋_GB2312"/>
          <w:kern w:val="0"/>
          <w:szCs w:val="32"/>
        </w:rPr>
        <w:t>GB 13511</w:t>
      </w:r>
      <w:bookmarkStart w:id="0" w:name="_GoBack"/>
      <w:bookmarkEnd w:id="0"/>
      <w:r>
        <w:rPr>
          <w:rFonts w:hint="eastAsia" w:ascii="仿宋_GB2312"/>
          <w:kern w:val="0"/>
          <w:szCs w:val="32"/>
        </w:rPr>
        <w:t>.1-2011 《配装眼镜 第1部分：单光和多焦点》</w:t>
      </w:r>
    </w:p>
    <w:p>
      <w:pPr>
        <w:widowControl/>
        <w:autoSpaceDN w:val="0"/>
        <w:ind w:firstLine="640" w:firstLineChars="200"/>
        <w:rPr>
          <w:rFonts w:hint="eastAsia" w:ascii="仿宋_GB2312"/>
          <w:kern w:val="0"/>
          <w:szCs w:val="32"/>
        </w:rPr>
      </w:pPr>
      <w:r>
        <w:rPr>
          <w:rFonts w:hint="eastAsia" w:ascii="仿宋_GB2312"/>
          <w:kern w:val="0"/>
          <w:szCs w:val="32"/>
        </w:rPr>
        <w:t>GB 10810.1-2005 《眼镜镜片 第1部分：单光和多焦点镜片》</w:t>
      </w:r>
    </w:p>
    <w:p>
      <w:pPr>
        <w:widowControl/>
        <w:autoSpaceDN w:val="0"/>
        <w:ind w:firstLine="640" w:firstLineChars="200"/>
        <w:rPr>
          <w:rFonts w:hint="eastAsia" w:ascii="仿宋_GB2312"/>
          <w:kern w:val="0"/>
          <w:szCs w:val="32"/>
        </w:rPr>
      </w:pPr>
      <w:r>
        <w:rPr>
          <w:rFonts w:hint="eastAsia" w:ascii="仿宋_GB2312"/>
          <w:kern w:val="0"/>
          <w:szCs w:val="32"/>
        </w:rPr>
        <w:t>GB 10810.3-2006 《眼镜镜片及相关眼镜产品 透射比规范及测量方法》</w:t>
      </w:r>
    </w:p>
    <w:p>
      <w:pPr>
        <w:widowControl/>
        <w:autoSpaceDN w:val="0"/>
        <w:ind w:firstLine="640" w:firstLineChars="200"/>
        <w:rPr>
          <w:rFonts w:hint="eastAsia" w:ascii="仿宋_GB2312" w:hAnsi="Times New Roman" w:cs="Times New Roman"/>
          <w:kern w:val="0"/>
          <w:szCs w:val="32"/>
        </w:rPr>
      </w:pPr>
      <w:r>
        <w:rPr>
          <w:rFonts w:hint="eastAsia" w:ascii="仿宋_GB2312" w:hAnsi="Times New Roman" w:cs="Times New Roman"/>
          <w:kern w:val="0"/>
          <w:szCs w:val="32"/>
        </w:rPr>
        <w:t>2.推荐性标准。</w:t>
      </w:r>
    </w:p>
    <w:p>
      <w:pPr>
        <w:widowControl/>
        <w:autoSpaceDN w:val="0"/>
        <w:ind w:firstLine="640" w:firstLineChars="200"/>
        <w:rPr>
          <w:rFonts w:hint="eastAsia" w:ascii="仿宋_GB2312" w:hAnsi="Times New Roman" w:cs="Times New Roman"/>
          <w:kern w:val="0"/>
          <w:szCs w:val="32"/>
        </w:rPr>
      </w:pPr>
      <w:r>
        <w:rPr>
          <w:rFonts w:hint="eastAsia" w:ascii="仿宋_GB2312" w:hAnsi="Times New Roman" w:cs="Times New Roman"/>
          <w:kern w:val="0"/>
          <w:szCs w:val="32"/>
        </w:rPr>
        <w:t>GB/T 14214-2003 《眼镜架  通用要求和试验方法》</w:t>
      </w:r>
    </w:p>
    <w:p>
      <w:pPr>
        <w:widowControl/>
        <w:autoSpaceDN w:val="0"/>
        <w:ind w:firstLine="640" w:firstLineChars="200"/>
        <w:rPr>
          <w:rFonts w:hint="eastAsia" w:ascii="仿宋_GB2312" w:hAnsi="Times New Roman" w:cs="Times New Roman"/>
          <w:kern w:val="0"/>
          <w:szCs w:val="32"/>
        </w:rPr>
      </w:pPr>
      <w:r>
        <w:rPr>
          <w:rFonts w:hint="eastAsia" w:ascii="仿宋_GB2312" w:hAnsi="Times New Roman" w:cs="Times New Roman"/>
          <w:kern w:val="0"/>
          <w:szCs w:val="32"/>
        </w:rPr>
        <w:t>现行有效的企业标准、团体标准、地方标准及产品明示质量要求。</w:t>
      </w:r>
    </w:p>
    <w:p>
      <w:pPr>
        <w:widowControl/>
        <w:autoSpaceDN w:val="0"/>
        <w:ind w:firstLine="640" w:firstLineChars="200"/>
        <w:rPr>
          <w:rFonts w:hint="eastAsia" w:ascii="仿宋_GB2312" w:hAnsi="Times New Roman" w:cs="Times New Roman"/>
          <w:kern w:val="0"/>
          <w:szCs w:val="32"/>
        </w:rPr>
      </w:pPr>
      <w:r>
        <w:rPr>
          <w:rFonts w:hint="eastAsia" w:ascii="仿宋_GB2312" w:hAnsi="Times New Roman" w:cs="Times New Roman"/>
          <w:kern w:val="0"/>
          <w:szCs w:val="32"/>
        </w:rPr>
        <w:t>（二）判定原则</w:t>
      </w:r>
    </w:p>
    <w:p>
      <w:pPr>
        <w:widowControl/>
        <w:autoSpaceDN w:val="0"/>
        <w:ind w:firstLine="640" w:firstLineChars="200"/>
        <w:rPr>
          <w:rFonts w:hint="eastAsia" w:ascii="仿宋_GB2312" w:hAnsi="Times New Roman" w:cs="Times New Roman"/>
          <w:kern w:val="0"/>
          <w:szCs w:val="32"/>
        </w:rPr>
      </w:pPr>
      <w:r>
        <w:rPr>
          <w:rFonts w:hint="eastAsia" w:ascii="仿宋_GB2312" w:hAnsi="Times New Roman" w:cs="Times New Roman"/>
          <w:kern w:val="0"/>
          <w:szCs w:val="32"/>
        </w:rPr>
        <w:t>经检验，检验项目全部合格，判定为抽取的样本所检项目未检出不合格；检验项目中任一项或一项以上不合格，判定为被抽查产品不合格。</w:t>
      </w:r>
    </w:p>
    <w:p>
      <w:pPr>
        <w:widowControl/>
        <w:autoSpaceDN w:val="0"/>
        <w:ind w:firstLine="640" w:firstLineChars="200"/>
        <w:rPr>
          <w:rFonts w:hint="eastAsia" w:ascii="仿宋_GB2312" w:hAnsi="Times New Roman" w:cs="Times New Roman"/>
          <w:kern w:val="0"/>
          <w:szCs w:val="32"/>
        </w:rPr>
      </w:pPr>
      <w:r>
        <w:rPr>
          <w:rFonts w:hint="eastAsia" w:ascii="仿宋_GB2312" w:hAnsi="Times New Roman" w:cs="Times New Roman"/>
          <w:kern w:val="0"/>
          <w:szCs w:val="32"/>
        </w:rPr>
        <w:t>当被检样品明示的质量要求优于监督抽查实施细则中依据的标准要求时，应按被检样品明示的质量要求判定；</w:t>
      </w:r>
    </w:p>
    <w:p>
      <w:pPr>
        <w:widowControl/>
        <w:autoSpaceDN w:val="0"/>
        <w:ind w:firstLine="640" w:firstLineChars="200"/>
        <w:rPr>
          <w:rFonts w:hint="eastAsia" w:ascii="仿宋_GB2312" w:hAnsi="Times New Roman" w:cs="Times New Roman"/>
          <w:kern w:val="0"/>
          <w:szCs w:val="32"/>
        </w:rPr>
      </w:pPr>
      <w:r>
        <w:rPr>
          <w:rFonts w:hint="eastAsia" w:ascii="仿宋_GB2312" w:hAnsi="Times New Roman" w:cs="Times New Roman"/>
          <w:kern w:val="0"/>
          <w:szCs w:val="32"/>
        </w:rPr>
        <w:t>当被检样品明示的质量要求劣于或不包含监督抽查实施细则中依据的强制性标准要求时，应按照强制性标准要求判定；</w:t>
      </w:r>
    </w:p>
    <w:p>
      <w:pPr>
        <w:widowControl/>
        <w:autoSpaceDN w:val="0"/>
        <w:ind w:firstLine="640" w:firstLineChars="200"/>
        <w:rPr>
          <w:rFonts w:hint="eastAsia" w:ascii="仿宋_GB2312" w:hAnsi="Times New Roman" w:cs="Times New Roman"/>
          <w:kern w:val="0"/>
          <w:szCs w:val="32"/>
        </w:rPr>
      </w:pPr>
      <w:r>
        <w:rPr>
          <w:rFonts w:hint="eastAsia" w:ascii="仿宋_GB2312" w:hAnsi="Times New Roman" w:cs="Times New Roman"/>
          <w:kern w:val="0"/>
          <w:szCs w:val="32"/>
        </w:rPr>
        <w:t>当被检样品明示的质量要求劣于或包含监督抽查实施细则中依据的推荐性标准要求时，应以被检样品明示的质量要求判定，如相应检验结果不符合相关推荐性标准要求时，应在检验报告中予以说明；</w:t>
      </w:r>
    </w:p>
    <w:p>
      <w:pPr>
        <w:widowControl/>
        <w:autoSpaceDN w:val="0"/>
        <w:ind w:firstLine="640" w:firstLineChars="200"/>
        <w:rPr>
          <w:rFonts w:hint="eastAsia" w:ascii="仿宋_GB2312" w:hAnsi="Times New Roman" w:cs="Times New Roman"/>
          <w:kern w:val="0"/>
          <w:szCs w:val="32"/>
        </w:rPr>
      </w:pPr>
      <w:r>
        <w:rPr>
          <w:rFonts w:hint="eastAsia" w:ascii="仿宋_GB2312" w:hAnsi="Times New Roman" w:cs="Times New Roman"/>
          <w:kern w:val="0"/>
          <w:szCs w:val="32"/>
        </w:rPr>
        <w:t>当被检样品明示的质量要求不包含监督抽查实施细则中依据的推荐性标准要求时，该指标不参与判定，但应在检验报告中作出说明；</w:t>
      </w:r>
    </w:p>
    <w:p>
      <w:pPr>
        <w:widowControl/>
        <w:autoSpaceDN w:val="0"/>
        <w:ind w:firstLine="640" w:firstLineChars="200"/>
        <w:rPr>
          <w:rFonts w:hint="eastAsia" w:ascii="仿宋_GB2312" w:hAnsi="Times New Roman" w:cs="Times New Roman"/>
          <w:kern w:val="0"/>
          <w:szCs w:val="32"/>
        </w:rPr>
      </w:pPr>
      <w:r>
        <w:rPr>
          <w:rFonts w:hint="eastAsia" w:ascii="仿宋_GB2312" w:hAnsi="Times New Roman" w:cs="Times New Roman"/>
          <w:kern w:val="0"/>
          <w:szCs w:val="32"/>
        </w:rPr>
        <w:t>当被检样品未能提供有效的企业标准时，按相关国家或行业标准进行判定；</w:t>
      </w:r>
    </w:p>
    <w:p>
      <w:pPr>
        <w:widowControl/>
        <w:autoSpaceDN w:val="0"/>
        <w:ind w:firstLine="640" w:firstLineChars="200"/>
        <w:rPr>
          <w:rFonts w:hint="eastAsia" w:ascii="仿宋_GB2312" w:hAnsi="Times New Roman" w:cs="Times New Roman"/>
          <w:kern w:val="0"/>
          <w:szCs w:val="32"/>
        </w:rPr>
      </w:pPr>
      <w:r>
        <w:rPr>
          <w:rFonts w:hint="eastAsia" w:ascii="仿宋_GB2312" w:hAnsi="Times New Roman" w:cs="Times New Roman"/>
          <w:kern w:val="0"/>
          <w:szCs w:val="32"/>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widowControl/>
        <w:autoSpaceDN w:val="0"/>
        <w:ind w:firstLine="640" w:firstLineChars="200"/>
        <w:rPr>
          <w:rFonts w:hint="eastAsia" w:ascii="仿宋_GB2312" w:hAnsi="Times New Roman" w:cs="Times New Roman"/>
          <w:kern w:val="0"/>
          <w:szCs w:val="32"/>
        </w:rPr>
      </w:pPr>
      <w:r>
        <w:rPr>
          <w:rFonts w:hint="eastAsia" w:ascii="仿宋_GB2312" w:hAnsi="Times New Roman" w:cs="Times New Roman"/>
          <w:kern w:val="0"/>
          <w:szCs w:val="32"/>
        </w:rPr>
        <w:t>按照产品质量相关法律法规的规定判定。</w:t>
      </w:r>
    </w:p>
    <w:p>
      <w:pPr>
        <w:widowControl/>
        <w:autoSpaceDN w:val="0"/>
        <w:ind w:firstLine="640" w:firstLineChars="200"/>
        <w:rPr>
          <w:rFonts w:hint="eastAsia" w:ascii="仿宋_GB2312" w:hAnsi="Times New Roman" w:cs="Times New Roman"/>
          <w:kern w:val="0"/>
          <w:szCs w:val="32"/>
        </w:rPr>
      </w:pPr>
      <w:r>
        <w:rPr>
          <w:rFonts w:hint="eastAsia" w:ascii="仿宋_GB2312" w:hAnsi="Times New Roman" w:cs="Times New Roman"/>
          <w:kern w:val="0"/>
          <w:szCs w:val="32"/>
        </w:rPr>
        <w:t>检验中发现因样品失效或者其他原因致使检验无法进行的，检验人员应如实记录，并提供相关证明材料，报送组织监督抽查的市场监管部门。</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8230A"/>
    <w:multiLevelType w:val="multilevel"/>
    <w:tmpl w:val="06E8230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186B2B9A"/>
    <w:rsid w:val="38A256E7"/>
    <w:rsid w:val="3C315A4B"/>
    <w:rsid w:val="46B303F3"/>
    <w:rsid w:val="543B484E"/>
    <w:rsid w:val="562F2BA3"/>
    <w:rsid w:val="590233BD"/>
    <w:rsid w:val="5F1F445B"/>
    <w:rsid w:val="6A9C0E67"/>
    <w:rsid w:val="6EA1734C"/>
    <w:rsid w:val="6EEE5A3B"/>
    <w:rsid w:val="6FE7234F"/>
    <w:rsid w:val="768102D7"/>
    <w:rsid w:val="777B472A"/>
    <w:rsid w:val="7906664A"/>
    <w:rsid w:val="7B6315DB"/>
    <w:rsid w:val="FFF46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仿宋_GB2312" w:cs="Times New Roman"/>
      <w:sz w:val="18"/>
      <w:szCs w:val="24"/>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9">
    <w:name w:val="一级条标题"/>
    <w:next w:val="8"/>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0">
    <w:name w:val="二级条标题"/>
    <w:basedOn w:val="9"/>
    <w:next w:val="8"/>
    <w:qFormat/>
    <w:uiPriority w:val="0"/>
    <w:pPr>
      <w:spacing w:before="50" w:after="50"/>
      <w:outlineLvl w:val="3"/>
    </w:pPr>
  </w:style>
  <w:style w:type="paragraph" w:customStyle="1" w:styleId="11">
    <w:name w:val="列出段落2"/>
    <w:basedOn w:val="1"/>
    <w:unhideWhenUsed/>
    <w:qFormat/>
    <w:uiPriority w:val="99"/>
    <w:pPr>
      <w:ind w:firstLine="420" w:firstLineChars="200"/>
    </w:pPr>
    <w:rPr>
      <w:sz w:val="30"/>
    </w:rPr>
  </w:style>
  <w:style w:type="paragraph" w:customStyle="1" w:styleId="12">
    <w:name w:val="Table Paragraph"/>
    <w:basedOn w:val="1"/>
    <w:qFormat/>
    <w:uiPriority w:val="0"/>
    <w:pPr>
      <w:jc w:val="left"/>
    </w:pPr>
    <w:rPr>
      <w:rFonts w:ascii="Calibri" w:hAnsi="Calibri"/>
      <w:kern w:val="0"/>
      <w:sz w:val="22"/>
      <w:szCs w:val="22"/>
      <w:lang w:eastAsia="en-US"/>
    </w:rPr>
  </w:style>
  <w:style w:type="character" w:customStyle="1" w:styleId="13">
    <w:name w:val="页眉 Char"/>
    <w:basedOn w:val="6"/>
    <w:link w:val="4"/>
    <w:qFormat/>
    <w:uiPriority w:val="0"/>
    <w:rPr>
      <w:rFonts w:ascii="Times New Roman" w:hAnsi="Times New Roman" w:eastAsia="仿宋_GB2312" w:cs="Times New Roman"/>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1420</Words>
  <Characters>1744</Characters>
  <Lines>23</Lines>
  <Paragraphs>6</Paragraphs>
  <TotalTime>1</TotalTime>
  <ScaleCrop>false</ScaleCrop>
  <LinksUpToDate>false</LinksUpToDate>
  <CharactersWithSpaces>1795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2020-07-22T09:55:00Z</dcterms:created>
  <dc:creator>zyw</dc:creator>
  <cp:lastModifiedBy>dxkj</cp:lastModifiedBy>
  <cp:lastPrinted>2020-07-22T09:55:00Z</cp:lastPrinted>
  <dcterms:modified xsi:type="dcterms:W3CDTF">2023-04-06T15:45:17Z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9DE52FE7CC5D4ED480B6885131A0D06D</vt:lpwstr>
  </property>
</Properties>
</file>