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黑体"/>
          <w:spacing w:val="-16"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pacing w:val="-16"/>
          <w:sz w:val="44"/>
          <w:szCs w:val="44"/>
        </w:rPr>
      </w:pPr>
      <w:r>
        <w:rPr>
          <w:rFonts w:hint="eastAsia" w:ascii="黑体" w:hAnsi="黑体" w:eastAsia="黑体" w:cs="黑体"/>
          <w:spacing w:val="-16"/>
          <w:sz w:val="44"/>
          <w:szCs w:val="44"/>
        </w:rPr>
        <w:t>河源市</w:t>
      </w:r>
      <w:r>
        <w:rPr>
          <w:rFonts w:hint="eastAsia" w:ascii="黑体" w:hAnsi="黑体" w:eastAsia="黑体" w:cs="黑体"/>
          <w:spacing w:val="-16"/>
          <w:sz w:val="44"/>
          <w:szCs w:val="44"/>
          <w:lang w:val="en-US" w:eastAsia="zh-CN"/>
        </w:rPr>
        <w:t>本级</w:t>
      </w:r>
      <w:r>
        <w:rPr>
          <w:rFonts w:hint="eastAsia" w:ascii="黑体" w:hAnsi="黑体" w:eastAsia="黑体" w:cs="黑体"/>
          <w:spacing w:val="-16"/>
          <w:sz w:val="44"/>
          <w:szCs w:val="44"/>
        </w:rPr>
        <w:t>2021-2022年建筑</w:t>
      </w:r>
      <w:r>
        <w:rPr>
          <w:rFonts w:hint="eastAsia" w:ascii="黑体" w:hAnsi="黑体" w:eastAsia="黑体" w:cs="黑体"/>
          <w:spacing w:val="-16"/>
          <w:sz w:val="44"/>
          <w:szCs w:val="44"/>
          <w:lang w:val="en-US" w:eastAsia="zh-CN"/>
        </w:rPr>
        <w:t>业</w:t>
      </w:r>
      <w:r>
        <w:rPr>
          <w:rFonts w:hint="eastAsia" w:ascii="黑体" w:hAnsi="黑体" w:eastAsia="黑体" w:cs="黑体"/>
          <w:spacing w:val="-16"/>
          <w:sz w:val="44"/>
          <w:szCs w:val="44"/>
        </w:rPr>
        <w:t>企业高质量发展</w:t>
      </w:r>
    </w:p>
    <w:p>
      <w:pPr>
        <w:spacing w:line="600" w:lineRule="exact"/>
        <w:jc w:val="center"/>
        <w:rPr>
          <w:rFonts w:hint="eastAsia" w:ascii="黑体" w:hAnsi="黑体" w:eastAsia="黑体" w:cs="黑体"/>
          <w:spacing w:val="-16"/>
          <w:sz w:val="44"/>
          <w:szCs w:val="44"/>
        </w:rPr>
      </w:pPr>
      <w:r>
        <w:rPr>
          <w:rFonts w:hint="eastAsia" w:ascii="黑体" w:hAnsi="黑体" w:eastAsia="黑体" w:cs="黑体"/>
          <w:spacing w:val="-16"/>
          <w:sz w:val="44"/>
          <w:szCs w:val="44"/>
        </w:rPr>
        <w:t>奖励兑现方案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为提高我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建筑业企业的综合实力和竞争力，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我市建筑业持续健康有序发展，根据《河源市人民政府关于加快河源市建筑业高质量发展的实施意见》（河府〔2020〕56号）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《河源市建筑业企业奖励政策实施细则》（河住建通〔2022〕31号）文件要求，针对2021年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2022年应兑现给建筑业企业的高质量发展奖励，结合实际，制定本兑现方案。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一、政策依据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《河源市人民政府关于加快河源市建筑业高质量发展的实施意见》（河府〔2020〕56号）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简称《实施意见》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《河源市建筑业企业奖励政策实施细则》（河住建通〔2022〕31号）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简称《实施细则》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二、企业申请和审核情况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（一）2021年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度</w:t>
      </w:r>
      <w:r>
        <w:rPr>
          <w:rFonts w:hint="eastAsia" w:ascii="楷体_GB2312" w:hAnsi="楷体_GB2312" w:eastAsia="楷体_GB2312" w:cs="楷体_GB2312"/>
          <w:sz w:val="32"/>
          <w:szCs w:val="32"/>
        </w:rPr>
        <w:t>企业申请和审核情况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1.申请情况。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月30日，共收到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家建筑业企业申报2021年奖励，合计申请奖励285万元。其中：申报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建筑业企业晋升资质奖励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企业1家，申报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市外建筑产值5000万以上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的企业1家，申报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企业提升产值奖励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审核情况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我局审核，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企业均已按照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实施细则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要求提交申报材料，申报材料齐全，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根据城管执法部门处罚文书，结合人社、税务部门意见，部分企业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奖励申报符合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广东源建建设有限公司2021年8月19日取得建筑工程施工总承包一级资质，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符合奖励条件，按《实施细则》给予该企业“晋升资质”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奖励100万元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广东恒正建设集团有限公司2021年完成市外建筑产值2.94亿元，2021年度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企业入统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建筑业总产值比2020年净增1亿元以上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符合奖励条件，按《实施细则》给予该企业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完成市外产值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奖励25万元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“提升产值”奖励20万元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广东源建建设有限公司2021年度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企业入统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建筑业总产值比2020年净增1亿元以上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申报“提升产值”奖励20万元。2021年至今，人社部门查出该企业在存在项目欠薪情况；存在住建领域违法情况，不符合《实施细则》中“提升产值”的奖励条件，不予奖励。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广东岿宏建筑有限公司2021年度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企业入统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建筑业总产值比2020年净增1亿元以上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申报“提升产值”奖励20万元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2021年至今，人社部门查出该企业在2021年至今期间内存在项目欠薪情况，不符合《实施细则》中“提升产值”的奖励条件，不予奖励。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河源庆业建设工程有限公司实现2021年年度建筑业总产值5亿元以上，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符合奖励条件，按《实施细则》给予该企业“提升产值”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奖励100万元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以上企业合计一次性奖励2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5万元（详见附件1）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（二）2022年企业申请和审核情况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1.申请情况。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月30日，共收到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家建筑业企业申报2022年奖励，合计申请奖励305万元。其中：申报建筑行业晋升施工总承包一级资质企业1家，申报完成市外建筑产值5000万以上的企业3家，申报实现年度建筑业总产值5亿元以上企业1家，申报次年比上年净增建筑业产值1亿元（含）以上企业3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审核情况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我局审核，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企业均已按照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实施细则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要求提交申报材料，申报材料齐全，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根据城管执法部门处罚文书，结合人社、税务部门意见，部分企业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奖励申报符合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河源市长胜建设工程有限公司2022年1月4日取得建筑工程施工总承包一级资质，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符合奖励条件，按《实施细则》给予该企业“晋升资质”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奖励100万元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广东恒正建设集团有限公司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市外建筑产值3.2亿元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2022年度建筑业总产值5亿元以上，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符合奖励条件，按《实施细则》给予该企业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市外产值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30万元，“提升产值”奖励100万元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广东中浩建设工程有限公司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2022年度企业完成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市外建筑产值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1.25亿元。2021年至今，存在住建领域违法情况，不符合《实施细则》中“提升产值”的奖励条件，不予奖励。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广东港河建设有限公司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市外建筑产值0.66亿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企业入统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建筑业总产值比2021年净增1亿元以上，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申报“市外产值”奖励5万元、申报“提升产值”奖励20万元。2021年至今，人社部门查出该企业在存在项目欠薪情况，不符合《实施细则》中“市外产值”、“提升产值”的奖励条件，不予奖励。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广东岿宏建筑有限公司2022年度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企业入统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建筑业总产值比2021年净增1亿元以上，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申报“提升产值”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奖励20万元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2021年至今，人社部门查出该企业在存在项目欠薪情况；存在住建领域违法情况，不符合《实施细则》中“提升产值”的奖励条件，不予奖励。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广东中浩建设工程有限公司2022年度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企业入统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建筑业总产值比2021年净增1亿元以上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2021年至今，存在住建领域违法情况，不符合《实施细则》中“提升产值”的奖励条件，不予奖励。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以上企业合计一次性奖励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230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万元（详见附件2）。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三、奖励兑现方式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实施细则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要求，除工程质量奖励资金由市财政承担外，建筑业企业晋升资质和引进企业奖励、企业市外产值和提升产值的奖励由企业注册地县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政府（管委会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市区建筑业企业奖励资金支出责任参照《中共河源市委 河源市人民政府关于调整市区财政管理体制的通知》（河委发〔2021〕3号）分担，即：市级与源城区（市级65：源城区35）、市级与市高新区（市级12：源城区28：高新区60）、江东新区（全额纳入江东新区财政预算管理）。各地要将建筑业发展奖励资金纳入同级财政预算，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项目同一类奖励按照从高原则，不重复奖励。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按照审核结果，2021年应兑现建筑业企业奖励2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5万元，2022年应兑现建筑业企业奖励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万元，合计共需兑现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万元。按照上述文件所载的市区建筑业企业奖励资金支出责任，市级应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65%的支出责任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兑现奖励资金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308.75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四、其他要求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为保持政策权威和活力，确保政府不失信于企业，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该项工作需</w:t>
      </w:r>
      <w:r>
        <w:rPr>
          <w:rFonts w:hint="eastAsia" w:ascii="仿宋_GB2312" w:hAnsi="仿宋_GB2312" w:eastAsia="仿宋_GB2312" w:cs="仿宋_GB2312"/>
          <w:sz w:val="32"/>
          <w:szCs w:val="32"/>
        </w:rPr>
        <w:t>各有关部门通力合作，加强各审核审批环节的执行，共同营造良好的营商环境。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700" w:leftChars="200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700" w:leftChars="200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.河源市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2021年建筑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企业申报高质量发展奖励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689" w:leftChars="652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531" w:right="1418" w:bottom="1531" w:left="1418" w:header="851" w:footer="992" w:gutter="0"/>
          <w:pgNumType w:fmt="decimal" w:start="1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.河源市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2022年建筑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企业申报高质量发展奖励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清单</w:t>
      </w:r>
    </w:p>
    <w:p>
      <w:pPr>
        <w:widowControl/>
        <w:spacing w:line="400" w:lineRule="exact"/>
        <w:jc w:val="left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6"/>
          <w:sz w:val="44"/>
          <w:szCs w:val="44"/>
          <w:lang w:val="en-US" w:eastAsia="zh-CN"/>
        </w:rPr>
        <w:t>河源市本级</w:t>
      </w:r>
      <w:r>
        <w:rPr>
          <w:rFonts w:hint="eastAsia" w:ascii="方正小标宋简体" w:hAnsi="方正小标宋简体" w:eastAsia="方正小标宋简体" w:cs="方正小标宋简体"/>
          <w:spacing w:val="-16"/>
          <w:sz w:val="44"/>
          <w:szCs w:val="44"/>
        </w:rPr>
        <w:t>2021年建筑</w:t>
      </w:r>
      <w:r>
        <w:rPr>
          <w:rFonts w:hint="eastAsia" w:ascii="方正小标宋简体" w:hAnsi="方正小标宋简体" w:eastAsia="方正小标宋简体" w:cs="方正小标宋简体"/>
          <w:spacing w:val="-16"/>
          <w:sz w:val="44"/>
          <w:szCs w:val="44"/>
          <w:lang w:val="en-US" w:eastAsia="zh-CN"/>
        </w:rPr>
        <w:t>业</w:t>
      </w:r>
      <w:r>
        <w:rPr>
          <w:rFonts w:hint="eastAsia" w:ascii="方正小标宋简体" w:hAnsi="方正小标宋简体" w:eastAsia="方正小标宋简体" w:cs="方正小标宋简体"/>
          <w:spacing w:val="-16"/>
          <w:sz w:val="44"/>
          <w:szCs w:val="44"/>
        </w:rPr>
        <w:t>企业申报高质量发展奖励表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494"/>
        <w:gridCol w:w="1200"/>
        <w:gridCol w:w="1038"/>
        <w:gridCol w:w="8200"/>
        <w:gridCol w:w="950"/>
        <w:gridCol w:w="10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  <w:t>申报类别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  <w:t>申报金额</w:t>
            </w:r>
          </w:p>
        </w:tc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  <w:t>校对审核情况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eastAsia="方正仿宋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b/>
                <w:color w:val="000000"/>
                <w:kern w:val="0"/>
                <w:sz w:val="24"/>
                <w:lang w:bidi="ar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eastAsia="方正仿宋_GBK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b/>
                <w:color w:val="000000"/>
                <w:kern w:val="0"/>
                <w:sz w:val="24"/>
                <w:lang w:val="en-US" w:eastAsia="zh-CN" w:bidi="ar"/>
              </w:rPr>
              <w:t>市本级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eastAsia="方正仿宋_GBK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b/>
                <w:color w:val="000000"/>
                <w:kern w:val="0"/>
                <w:sz w:val="24"/>
                <w:lang w:val="en-US" w:eastAsia="zh-CN" w:bidi="ar"/>
              </w:rPr>
              <w:t>承担金额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sz w:val="24"/>
              </w:rPr>
              <w:t>广东源建建设有限公司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kern w:val="0"/>
                <w:sz w:val="24"/>
                <w:lang w:bidi="ar"/>
              </w:rPr>
              <w:t>晋升资质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经核对，该公司于2021年8月19日取得建筑工程施工总承包一级资质。根据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《河源市人民政府关于加快河源市建筑业高质量发展的实施意见》（河府〔2020〕56号，下称《实施意见》）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第1条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可一次性奖励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 w:bidi="ar"/>
              </w:rPr>
              <w:t>100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万元。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广东恒正建设集团有限公司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对外拓展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经核对，该公司2021年度市外建筑业产值完成2.94亿元。根据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《实施意见》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第5条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可一次性奖励25万元。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16.25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广东源建建设有限公司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净增产值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经核对，该公司2020年度产值3.41亿元，2021年度产值4.75亿元，较上年净增产值1亿元以上。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 w:bidi="ar"/>
              </w:rPr>
              <w:t>人社部门查出存在欠薪行为，不符合奖励条件，不予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奖励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广东恒正建设集团有限公司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净增产值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经核对，该公司2020年度产值3.64亿元，2021年度产值4.91亿元，较上年净增产值1亿元以上。根据《实施意见》第11条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可一次性奖励20万元。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 w:val="24"/>
                <w:lang w:bidi="ar"/>
              </w:rPr>
              <w:t>广东岿宏建筑有限公司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净增产值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经核对，该公司2020年度产值0.388亿元，2021年度产值1.77亿元，较上年净增产值1亿元以上。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 w:bidi="ar"/>
              </w:rPr>
              <w:t>人社部门查出存在欠薪行为，不符合奖励条件，不予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奖励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河源庆业建设工程有限公司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净增产值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经核对，该公司2021年度产值达5.0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亿元。根据《实施意见》第11条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可一次性奖励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100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万元。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b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159.25</w:t>
            </w:r>
          </w:p>
        </w:tc>
      </w:tr>
    </w:tbl>
    <w:p>
      <w:pPr>
        <w:widowControl/>
        <w:spacing w:line="400" w:lineRule="exact"/>
        <w:ind w:right="720"/>
        <w:jc w:val="right"/>
        <w:textAlignment w:val="center"/>
        <w:rPr>
          <w:rFonts w:ascii="方正黑体_GBK" w:eastAsia="方正黑体_GBK"/>
          <w:sz w:val="24"/>
        </w:rPr>
      </w:pPr>
      <w:r>
        <w:rPr>
          <w:rFonts w:hint="eastAsia" w:eastAsia="方正仿宋_GBK"/>
          <w:sz w:val="24"/>
        </w:rPr>
        <w:t>单位：万元</w:t>
      </w:r>
    </w:p>
    <w:p>
      <w:pPr>
        <w:widowControl/>
        <w:spacing w:line="400" w:lineRule="exact"/>
        <w:jc w:val="left"/>
        <w:textAlignment w:val="center"/>
        <w:rPr>
          <w:rFonts w:ascii="方正黑体_GBK" w:eastAsia="方正黑体_GBK"/>
          <w:sz w:val="24"/>
        </w:rPr>
      </w:pPr>
    </w:p>
    <w:p>
      <w:pPr>
        <w:widowControl/>
        <w:spacing w:line="400" w:lineRule="exact"/>
        <w:jc w:val="left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pacing w:val="-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6"/>
          <w:sz w:val="44"/>
          <w:szCs w:val="44"/>
          <w:lang w:val="en-US" w:eastAsia="zh-CN"/>
        </w:rPr>
        <w:t>河源市本级2022年建筑企业申报高质量发展奖励表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688"/>
        <w:gridCol w:w="1150"/>
        <w:gridCol w:w="1088"/>
        <w:gridCol w:w="8137"/>
        <w:gridCol w:w="775"/>
        <w:gridCol w:w="105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  <w:t>申报类别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  <w:t>申报金额</w:t>
            </w:r>
          </w:p>
        </w:tc>
        <w:tc>
          <w:tcPr>
            <w:tcW w:w="8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  <w:t>校对审核情况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eastAsia="方正仿宋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b/>
                <w:color w:val="000000"/>
                <w:kern w:val="0"/>
                <w:sz w:val="24"/>
                <w:lang w:bidi="ar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eastAsia="方正仿宋_GBK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b/>
                <w:color w:val="000000"/>
                <w:kern w:val="0"/>
                <w:sz w:val="24"/>
                <w:lang w:val="en-US" w:eastAsia="zh-CN" w:bidi="ar"/>
              </w:rPr>
              <w:t>市本级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eastAsia="方正仿宋_GBK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/>
                <w:b/>
                <w:color w:val="000000"/>
                <w:kern w:val="0"/>
                <w:sz w:val="24"/>
                <w:lang w:val="en-US" w:eastAsia="zh-CN" w:bidi="ar"/>
              </w:rPr>
              <w:t>承担金额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河源市长胜建设工程有限公司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晋升资质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</w:t>
            </w:r>
          </w:p>
        </w:tc>
        <w:tc>
          <w:tcPr>
            <w:tcW w:w="8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经核对，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该公司于2022年1月4日取得建筑工程施工总承包一级资质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。根据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《河源市人民政府关于加快河源市建筑业高质量发展的实施意见》（河府〔2020〕56号，下称《实施意见》）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第1条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可一次性奖励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0万元。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广东恒正建设集团有限公司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对外拓展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8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经核对，该公司202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年度市外建筑业产值完成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3.2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亿元。根据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《实施意见》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第5条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可一次性奖励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万元。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19.5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4"/>
              </w:rPr>
              <w:t>广东港河建设有限公司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对外拓展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8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经核对，该公司202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年度市外建筑业产值完成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0.66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亿元。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 w:bidi="ar"/>
              </w:rPr>
              <w:t>人社部门查出存在欠薪行为，不符合奖励条件，不予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奖励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4"/>
              </w:rPr>
              <w:t>广东中浩建设工程有限公司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对外拓展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8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经核对，该公司202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年度市外建筑业产值完成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1.25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亿元。根据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《实施意见》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第5条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可一次性奖励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万元。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4"/>
              </w:rPr>
              <w:t>广东岿宏建筑有限公司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净增产值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8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经核对，该公司202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年度产值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1.77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亿元，202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年度产值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2.79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亿元，较上年净增产值1亿元以上。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 w:bidi="ar"/>
              </w:rPr>
              <w:t>人社部门查出存在欠薪行为，不符合奖励条件，不予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奖励。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4"/>
              </w:rPr>
              <w:t>广东港河建设有限公司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净增产值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8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经核对，该公司202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年度产值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2.24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亿元，202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年度产值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3.76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亿元，较上年净增产值1亿元以上。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 w:bidi="ar"/>
              </w:rPr>
              <w:t>人社部门查出存在欠薪行为，不符合奖励条件，不予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奖励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广东中浩建设工程有限公司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净增产值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8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经核对，该公司202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年度产值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1.24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亿元，202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年度产值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2.74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亿元，较上年净增产值1亿元以上。根据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《实施意见》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第11条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可一次性奖励20万元。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广东恒正建设集团有限公司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提升</w:t>
            </w:r>
            <w:r>
              <w:rPr>
                <w:rFonts w:hint="eastAsia" w:eastAsia="方正仿宋_GBK"/>
                <w:sz w:val="24"/>
              </w:rPr>
              <w:t>产值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</w:t>
            </w:r>
          </w:p>
        </w:tc>
        <w:tc>
          <w:tcPr>
            <w:tcW w:w="8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经核对，该公司202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年度产值达5.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07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亿元。根据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《实施意见》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第11条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可一次性奖励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100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万元。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8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b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230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149.5</w:t>
            </w:r>
          </w:p>
        </w:tc>
      </w:tr>
    </w:tbl>
    <w:p>
      <w:pPr>
        <w:spacing w:line="620" w:lineRule="exact"/>
        <w:jc w:val="both"/>
        <w:rPr>
          <w:rFonts w:hint="eastAsia" w:ascii="Times New Roman" w:hAnsi="Times New Roman" w:eastAsia="仿宋_GB2312" w:cs="Times New Roman"/>
          <w:vanish/>
          <w:sz w:val="32"/>
          <w:szCs w:val="32"/>
          <w:lang w:val="en-US" w:eastAsia="zh-CN"/>
        </w:rPr>
      </w:pPr>
    </w:p>
    <w:sectPr>
      <w:footerReference r:id="rId4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ZTdiMTliZmQzMWMyZDhhMjNkYTAwZmQ1YzJlYTUifQ=="/>
  </w:docVars>
  <w:rsids>
    <w:rsidRoot w:val="38863EE6"/>
    <w:rsid w:val="00027D9C"/>
    <w:rsid w:val="0006789D"/>
    <w:rsid w:val="00076899"/>
    <w:rsid w:val="000E7B7B"/>
    <w:rsid w:val="001C70B7"/>
    <w:rsid w:val="00315996"/>
    <w:rsid w:val="003537B8"/>
    <w:rsid w:val="004C10B5"/>
    <w:rsid w:val="004C3A9A"/>
    <w:rsid w:val="0062147D"/>
    <w:rsid w:val="00642198"/>
    <w:rsid w:val="006601DF"/>
    <w:rsid w:val="006F4D30"/>
    <w:rsid w:val="00883306"/>
    <w:rsid w:val="008C1FFD"/>
    <w:rsid w:val="009026CB"/>
    <w:rsid w:val="009874E4"/>
    <w:rsid w:val="009C182C"/>
    <w:rsid w:val="00AE16D5"/>
    <w:rsid w:val="00B77148"/>
    <w:rsid w:val="00C10F1D"/>
    <w:rsid w:val="00C25684"/>
    <w:rsid w:val="00C5562D"/>
    <w:rsid w:val="00C71913"/>
    <w:rsid w:val="00C82E60"/>
    <w:rsid w:val="00D123CA"/>
    <w:rsid w:val="00D35BA9"/>
    <w:rsid w:val="00F16204"/>
    <w:rsid w:val="00F25708"/>
    <w:rsid w:val="015F05E4"/>
    <w:rsid w:val="06F2008C"/>
    <w:rsid w:val="09EC0B3C"/>
    <w:rsid w:val="0B7D1DDC"/>
    <w:rsid w:val="11D4501B"/>
    <w:rsid w:val="11F5724A"/>
    <w:rsid w:val="14C57522"/>
    <w:rsid w:val="1D683D49"/>
    <w:rsid w:val="1D9462F0"/>
    <w:rsid w:val="21035955"/>
    <w:rsid w:val="255E0984"/>
    <w:rsid w:val="27C86C9B"/>
    <w:rsid w:val="31CB6BC1"/>
    <w:rsid w:val="38863EE6"/>
    <w:rsid w:val="3F2B1620"/>
    <w:rsid w:val="40C8326F"/>
    <w:rsid w:val="44F172D1"/>
    <w:rsid w:val="4B9B2B1B"/>
    <w:rsid w:val="4DA14C7A"/>
    <w:rsid w:val="4F5641E3"/>
    <w:rsid w:val="5226351E"/>
    <w:rsid w:val="54F303EA"/>
    <w:rsid w:val="55BB6F76"/>
    <w:rsid w:val="585B04CD"/>
    <w:rsid w:val="5F2C6709"/>
    <w:rsid w:val="634D65CF"/>
    <w:rsid w:val="642D698A"/>
    <w:rsid w:val="64DC3487"/>
    <w:rsid w:val="6EEA6711"/>
    <w:rsid w:val="729F5B3F"/>
    <w:rsid w:val="75E1097F"/>
    <w:rsid w:val="7D7223D6"/>
    <w:rsid w:val="7F33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2844</Words>
  <Characters>3236</Characters>
  <Lines>16</Lines>
  <Paragraphs>4</Paragraphs>
  <TotalTime>6</TotalTime>
  <ScaleCrop>false</ScaleCrop>
  <LinksUpToDate>false</LinksUpToDate>
  <CharactersWithSpaces>3237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2023-06-26T01:19:00Z</dcterms:created>
  <dc:creator>lenovopc</dc:creator>
  <cp:lastModifiedBy>雄@巴蜀商品</cp:lastModifiedBy>
  <cp:lastPrinted>2023-06-08T03:13:00Z</cp:lastPrinted>
  <dcterms:modified xsi:type="dcterms:W3CDTF">2023-11-03T01:34:11Z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4E8201498400452DBCDB80EC2DEC4B8B_13</vt:lpwstr>
  </property>
</Properties>
</file>