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河源市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  <w:t>高价值专利培育布局中心建设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华文楷体" w:hAnsi="华文楷体" w:eastAsia="华文楷体" w:cs="华文楷体"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2024年度河源市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高价值专利培育布局中心建设项目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二、项目目标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</w:rPr>
        <w:t>电子信息、水饮料及食品、先进材料、机械与模具产业等“1+3”产业集群，</w:t>
      </w:r>
      <w:r>
        <w:rPr>
          <w:snapToGrid w:val="0"/>
          <w:color w:val="auto"/>
          <w:kern w:val="0"/>
          <w:sz w:val="32"/>
          <w:szCs w:val="32"/>
        </w:rPr>
        <w:t>在产业核心关键领域培育产出一批科技含量高、权利状态稳定、市场前景好的高价值专利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</w:rPr>
        <w:t>推动知识产权深入融入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lang w:eastAsia="zh-CN"/>
        </w:rPr>
        <w:t>各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</w:rPr>
        <w:t>创新平台科技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</w:rPr>
        <w:t>研发全过程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支持河源市创新主体建设高价值专利培育布局中心，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</w:rPr>
        <w:t>精准开展高价值专利培育布局</w:t>
      </w:r>
      <w:r>
        <w:rPr>
          <w:rFonts w:hint="eastAsia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加快创新驱动发展。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三、项目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各类创新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提升专利制度综合运用能力，产出一批产业发展需要的高价值发明专利。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主要完成以下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）建立高价值专利培育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布局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中心。依托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中心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挂牌成立该技术领域高价值专利培育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布局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中心，完善组织架构和人员分工，建立完善高价值专利培育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布局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中心管理制度，推动知识产权融入科技研发全过程管理。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建立完善专利管理及权益分配机制，强化专利评价导向。建立健全创新中心研发活动专利全过程管理体系，建立优化专利分级分类管理机制、知识产权权益分配机制；强化创新工作的专利评价导向，将发明专利申请和授权、PCT专利申请等产出情况纳入各类创新中心创新工作的核心评价指标，促进专利与各类创新中心发展紧密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）开展专利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导航分析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贯彻实施《高价值专利培育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布局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工作指南》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围绕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创新中心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研发创新重点领域开展深度专利信息分析、专利微导航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等工作，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将专利信息利用融入技术研发过程，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形成专利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导航报告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1份并完成备案。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）开展高价值专利培育工作。围绕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创新中心关键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技术领域，制定高价值专利培育工作方案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,开展技术挖掘、专利布局、质押融资及管理实务培训等，切实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提升研发人员高价值专利培育能力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项目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实施期间，围绕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该技术领域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形成高价值专利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含新增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发明专利10件以上）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组合及布局报告，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其中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核心专利的权利要求数量达到1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项及以上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adjustRightInd w:val="0"/>
        <w:snapToGrid w:val="0"/>
        <w:spacing w:line="600" w:lineRule="exact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）推动专利转化运用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。完善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创新中心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专利转化运用机制，通过专利产品化、转让许可、质押融资等方式，推动专利转化运用取得较好成果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积极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开展知识产权优势示范创建工作，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参与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中国/广东专利奖等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国家、省知识产权相关评奖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/>
        </w:rPr>
        <w:t>粤港澳大湾区高价值专利培育布局大赛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/>
        </w:rPr>
        <w:t>粤东西北知识产权创新创业大赛等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u w:val="none"/>
          <w:lang w:eastAsia="zh-CN"/>
        </w:rPr>
        <w:t>各类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赛事活动，贯彻实施知识产权管理规范，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全面提升知识产权创造质量和运用效益。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四、申报主体及条件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color w:val="auto"/>
          <w:szCs w:val="32"/>
        </w:rPr>
        <w:t>申报主体：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具有独立法人资格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的相关创新主体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</w:rPr>
        <w:t>（包括</w:t>
      </w:r>
      <w:r>
        <w:rPr>
          <w:snapToGrid w:val="0"/>
          <w:color w:val="auto"/>
          <w:kern w:val="0"/>
          <w:sz w:val="32"/>
          <w:szCs w:val="32"/>
        </w:rPr>
        <w:t>重点实验室等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lang w:eastAsia="zh-CN"/>
        </w:rPr>
        <w:t>各类创新平台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</w:rPr>
        <w:t>、高校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lang w:eastAsia="zh-CN"/>
        </w:rPr>
        <w:t>院所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</w:rPr>
        <w:t>、企</w:t>
      </w:r>
      <w:r>
        <w:rPr>
          <w:rFonts w:hint="eastAsia" w:cs="仿宋_GB2312"/>
          <w:b w:val="0"/>
          <w:bCs/>
          <w:color w:val="auto"/>
          <w:sz w:val="32"/>
          <w:szCs w:val="32"/>
          <w:lang w:val="en-US" w:eastAsia="zh-CN"/>
        </w:rPr>
        <w:t>事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</w:rPr>
        <w:t>业</w:t>
      </w:r>
      <w:r>
        <w:rPr>
          <w:rFonts w:hint="eastAsia" w:cs="仿宋_GB2312"/>
          <w:b w:val="0"/>
          <w:bCs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</w:rPr>
        <w:t>等）</w:t>
      </w:r>
      <w:r>
        <w:rPr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Cs w:val="32"/>
          <w:lang w:eastAsia="zh-CN"/>
        </w:rPr>
        <w:t>（二）申报条件：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b w:val="0"/>
          <w:bCs/>
          <w:color w:val="auto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val="en-US" w:eastAsia="zh-CN"/>
        </w:rPr>
        <w:t>单位已认定为国家级或省级新兴产业创新中心、制造业创新中心、技术创新中心、产学研协同创新中心、工程技术研究中心、工程实验室、重点实验室、省级企业技术中心等，上述中心需经国家相关部委或省级厅局认定。</w:t>
      </w:r>
      <w:r>
        <w:rPr>
          <w:rFonts w:hint="eastAsia" w:cs="仿宋_GB2312"/>
          <w:color w:val="auto"/>
          <w:spacing w:val="-6"/>
          <w:sz w:val="32"/>
          <w:szCs w:val="32"/>
        </w:rPr>
        <w:t>遵守专项资金管理有关规定，能按时、保质保量完成项目任务。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单位已经承担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省、市同类型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项目且尚未验收或验收不合格的，不得申报。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各申报单位围绕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</w:rPr>
        <w:t>电子信息、水饮料及食品、先进材料、机械与模具产业等“1+3”产业集群，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选取某一细分技术领域，开展高价值专利培育。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（一）《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2024年度河源市知识产权促进类项目申报书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（以下简称《申报书》）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（二）单位营业执照等法人资格证、银行开户许可证复印件；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/>
          <w:color w:val="auto"/>
          <w:sz w:val="32"/>
          <w:szCs w:val="32"/>
          <w:highlight w:val="none"/>
        </w:rPr>
        <w:t>国家部委或省级厅局认定各类创新中心的红头文件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及其有效性证明材料</w:t>
      </w:r>
      <w:r>
        <w:rPr>
          <w:rFonts w:hint="eastAsia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相关资质和经验证明材料；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（五）近两年的财务报表；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（六）真实性承诺函；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（七）其他证明申报单位条件及优势的佐证材料。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上述材料均需加盖公章并在《申报书》加盖骑缝章。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lang w:eastAsia="zh-CN"/>
        </w:rPr>
        <w:t>六、支持方式及额度、实施期限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支持项目2项，每项支持额度预计30万元；所有项目任务原则上需在2024年完成。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2A4FD4-7913-4D40-B8D0-E7FD4A1D1C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34B456-678D-42B8-B6B6-7DE0BBA028BC}"/>
  </w:font>
  <w:font w:name="小标宋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D03AFD98-1D73-4816-9FA6-319A5C81B5A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2FC8F26-925B-4915-A305-F8B490C9CD6F}"/>
  </w:font>
  <w:font w:name="华文楷体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5" w:fontKey="{FB81DC37-3630-41EB-B0CE-02D789C7B8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E54EDBB-588D-4050-87B4-82F99BD579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CF1AD82-AB01-4570-A314-2D414BD267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280" w:firstLineChars="100"/>
      <w:rPr>
        <w:rStyle w:val="7"/>
        <w:sz w:val="28"/>
      </w:rPr>
    </w:pPr>
    <w:r>
      <w:rPr>
        <w:rStyle w:val="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102</w:t>
    </w:r>
    <w:r>
      <w:rPr>
        <w:sz w:val="28"/>
      </w:rPr>
      <w:fldChar w:fldCharType="end"/>
    </w:r>
    <w:r>
      <w:rPr>
        <w:rStyle w:val="7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YTk1YjcyYzA3MDllMWY2OGNiNjdkNTViMDJlZDYifQ=="/>
  </w:docVars>
  <w:rsids>
    <w:rsidRoot w:val="000320CC"/>
    <w:rsid w:val="000148F9"/>
    <w:rsid w:val="000320CC"/>
    <w:rsid w:val="000E7881"/>
    <w:rsid w:val="00111BF5"/>
    <w:rsid w:val="0017764C"/>
    <w:rsid w:val="00224949"/>
    <w:rsid w:val="002878F0"/>
    <w:rsid w:val="002B229D"/>
    <w:rsid w:val="002B34A7"/>
    <w:rsid w:val="00627926"/>
    <w:rsid w:val="006C00D4"/>
    <w:rsid w:val="00820790"/>
    <w:rsid w:val="008A6519"/>
    <w:rsid w:val="008D1709"/>
    <w:rsid w:val="0092048F"/>
    <w:rsid w:val="00C324C3"/>
    <w:rsid w:val="00CB77A6"/>
    <w:rsid w:val="00EC7F04"/>
    <w:rsid w:val="00F753F7"/>
    <w:rsid w:val="017A42D3"/>
    <w:rsid w:val="021E3365"/>
    <w:rsid w:val="060A6CFC"/>
    <w:rsid w:val="073B5E80"/>
    <w:rsid w:val="07DE2D15"/>
    <w:rsid w:val="08126E54"/>
    <w:rsid w:val="0A426632"/>
    <w:rsid w:val="0BD14BED"/>
    <w:rsid w:val="0C38300E"/>
    <w:rsid w:val="0CB82E28"/>
    <w:rsid w:val="0D0F4DB2"/>
    <w:rsid w:val="0D914A9E"/>
    <w:rsid w:val="0E225CAC"/>
    <w:rsid w:val="0EA342BF"/>
    <w:rsid w:val="0F553BD6"/>
    <w:rsid w:val="100D7898"/>
    <w:rsid w:val="107C3AA0"/>
    <w:rsid w:val="121A1D89"/>
    <w:rsid w:val="132E6A81"/>
    <w:rsid w:val="132F11F7"/>
    <w:rsid w:val="15E676AD"/>
    <w:rsid w:val="16606874"/>
    <w:rsid w:val="19967654"/>
    <w:rsid w:val="1C95499C"/>
    <w:rsid w:val="1E5C75B0"/>
    <w:rsid w:val="1EA6791F"/>
    <w:rsid w:val="24767DEC"/>
    <w:rsid w:val="25214F9F"/>
    <w:rsid w:val="26157631"/>
    <w:rsid w:val="28652C33"/>
    <w:rsid w:val="28AA1092"/>
    <w:rsid w:val="28AD1BD7"/>
    <w:rsid w:val="29094DB7"/>
    <w:rsid w:val="2A6D7836"/>
    <w:rsid w:val="2D0231D5"/>
    <w:rsid w:val="2D1C5A6A"/>
    <w:rsid w:val="2E3D58F0"/>
    <w:rsid w:val="2E982BA6"/>
    <w:rsid w:val="2FFEB671"/>
    <w:rsid w:val="30D73E16"/>
    <w:rsid w:val="31F621F8"/>
    <w:rsid w:val="32167EE2"/>
    <w:rsid w:val="332C6668"/>
    <w:rsid w:val="33A279DD"/>
    <w:rsid w:val="33B639F3"/>
    <w:rsid w:val="34E7618C"/>
    <w:rsid w:val="35135E14"/>
    <w:rsid w:val="35547441"/>
    <w:rsid w:val="39741E0A"/>
    <w:rsid w:val="3B1041D8"/>
    <w:rsid w:val="3BF66C71"/>
    <w:rsid w:val="3E613BED"/>
    <w:rsid w:val="3F7C5376"/>
    <w:rsid w:val="3FA97C38"/>
    <w:rsid w:val="40474FDB"/>
    <w:rsid w:val="404C6D19"/>
    <w:rsid w:val="4143775A"/>
    <w:rsid w:val="41883839"/>
    <w:rsid w:val="42142DE6"/>
    <w:rsid w:val="430354EC"/>
    <w:rsid w:val="43E32B05"/>
    <w:rsid w:val="445D6820"/>
    <w:rsid w:val="49FB2309"/>
    <w:rsid w:val="4CA40823"/>
    <w:rsid w:val="4D3B1192"/>
    <w:rsid w:val="4FBF23AC"/>
    <w:rsid w:val="4FD95215"/>
    <w:rsid w:val="4FF6012D"/>
    <w:rsid w:val="500B5A17"/>
    <w:rsid w:val="503401BC"/>
    <w:rsid w:val="508013EB"/>
    <w:rsid w:val="53B214EB"/>
    <w:rsid w:val="541B261A"/>
    <w:rsid w:val="551C6A7B"/>
    <w:rsid w:val="558C567D"/>
    <w:rsid w:val="57DF3CBF"/>
    <w:rsid w:val="584E296C"/>
    <w:rsid w:val="59366698"/>
    <w:rsid w:val="5BB7F5B0"/>
    <w:rsid w:val="5DF35D7F"/>
    <w:rsid w:val="5E0A7FE5"/>
    <w:rsid w:val="5E924C34"/>
    <w:rsid w:val="636D4F67"/>
    <w:rsid w:val="63BC5870"/>
    <w:rsid w:val="64FC2197"/>
    <w:rsid w:val="66582010"/>
    <w:rsid w:val="66AE40C7"/>
    <w:rsid w:val="670051CD"/>
    <w:rsid w:val="687B024A"/>
    <w:rsid w:val="6A441A21"/>
    <w:rsid w:val="6B02528A"/>
    <w:rsid w:val="6EB26A69"/>
    <w:rsid w:val="6F106AB7"/>
    <w:rsid w:val="6F1D5DCC"/>
    <w:rsid w:val="6F646128"/>
    <w:rsid w:val="6FBA6CFD"/>
    <w:rsid w:val="6FF87BE8"/>
    <w:rsid w:val="71ED3CBE"/>
    <w:rsid w:val="72364D7B"/>
    <w:rsid w:val="72BD4C66"/>
    <w:rsid w:val="742A636D"/>
    <w:rsid w:val="76191A44"/>
    <w:rsid w:val="77DDC52A"/>
    <w:rsid w:val="787C3A13"/>
    <w:rsid w:val="7DF9E0F2"/>
    <w:rsid w:val="7EC61E5A"/>
    <w:rsid w:val="7FFFCAEF"/>
    <w:rsid w:val="AD5D93B4"/>
    <w:rsid w:val="AFFAFFBE"/>
    <w:rsid w:val="D35FF040"/>
    <w:rsid w:val="DF8DB6D9"/>
    <w:rsid w:val="DFB7CCFD"/>
    <w:rsid w:val="FF5F88A1"/>
    <w:rsid w:val="FFE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样式1 Char"/>
    <w:link w:val="9"/>
    <w:qFormat/>
    <w:uiPriority w:val="0"/>
    <w:rPr>
      <w:rFonts w:ascii="小标宋" w:hAnsi="宋体" w:eastAsia="小标宋"/>
      <w:b/>
      <w:color w:val="000000"/>
      <w:sz w:val="44"/>
      <w:szCs w:val="44"/>
    </w:rPr>
  </w:style>
  <w:style w:type="paragraph" w:customStyle="1" w:styleId="9">
    <w:name w:val="样式1"/>
    <w:basedOn w:val="2"/>
    <w:link w:val="8"/>
    <w:qFormat/>
    <w:uiPriority w:val="0"/>
    <w:pPr>
      <w:keepNext w:val="0"/>
      <w:keepLines w:val="0"/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hAnsi="宋体" w:eastAsia="小标宋" w:cstheme="minorBidi"/>
      <w:bCs w:val="0"/>
      <w:color w:val="000000"/>
      <w:kern w:val="2"/>
    </w:rPr>
  </w:style>
  <w:style w:type="character" w:customStyle="1" w:styleId="10">
    <w:name w:val="标题 1 Char"/>
    <w:basedOn w:val="6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customStyle="1" w:styleId="14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kern w:val="0"/>
      <w:sz w:val="52"/>
      <w:szCs w:val="52"/>
      <w:lang w:val="en-US" w:eastAsia="zh-CN" w:bidi="ar-SA"/>
    </w:rPr>
  </w:style>
  <w:style w:type="character" w:customStyle="1" w:styleId="15">
    <w:name w:val="正文首空2 Char"/>
    <w:link w:val="16"/>
    <w:qFormat/>
    <w:uiPriority w:val="0"/>
  </w:style>
  <w:style w:type="paragraph" w:customStyle="1" w:styleId="16">
    <w:name w:val="正文首空2"/>
    <w:basedOn w:val="1"/>
    <w:link w:val="15"/>
    <w:qFormat/>
    <w:uiPriority w:val="0"/>
    <w:pPr>
      <w:ind w:firstLine="200" w:firstLineChars="200"/>
    </w:pPr>
  </w:style>
  <w:style w:type="paragraph" w:customStyle="1" w:styleId="17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1145</Words>
  <Characters>1152</Characters>
  <Lines>26</Lines>
  <Paragraphs>7</Paragraphs>
  <TotalTime>1</TotalTime>
  <ScaleCrop>false</ScaleCrop>
  <LinksUpToDate>false</LinksUpToDate>
  <CharactersWithSpaces>1152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2019-05-26T02:50:00Z</dcterms:created>
  <dc:creator>wang kis</dc:creator>
  <cp:lastModifiedBy>LM</cp:lastModifiedBy>
  <cp:lastPrinted>2021-11-28T07:34:00Z</cp:lastPrinted>
  <dcterms:modified xsi:type="dcterms:W3CDTF">2024-02-04T01:34:01Z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82E7E5887C9341C5B7BBA5D80AC7FC1F_13</vt:lpwstr>
  </property>
</Properties>
</file>