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numPr>
          <w:ilvl w:val="0"/>
          <w:numId w:val="0"/>
        </w:numPr>
        <w:kinsoku/>
        <w:wordWrap/>
        <w:overflowPunct/>
        <w:topLinePunct w:val="0"/>
        <w:autoSpaceDE/>
        <w:autoSpaceDN/>
        <w:bidi w:val="0"/>
        <w:spacing w:before="0" w:beforeLines="0" w:beforeAutospacing="0" w:after="0" w:afterLines="0" w:afterAutospacing="0" w:line="600" w:lineRule="exact"/>
        <w:ind w:left="0" w:firstLine="0"/>
        <w:jc w:val="both"/>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eastAsia="zh-CN"/>
        </w:rPr>
        <w:t>附件</w:t>
      </w:r>
      <w:r>
        <w:rPr>
          <w:rFonts w:hint="eastAsia" w:ascii="黑体" w:hAnsi="黑体" w:eastAsia="黑体" w:cs="黑体"/>
          <w:snapToGrid w:val="0"/>
          <w:kern w:val="0"/>
          <w:sz w:val="32"/>
          <w:szCs w:val="32"/>
          <w:lang w:val="en-US" w:eastAsia="zh-CN"/>
        </w:rPr>
        <w:t>2</w:t>
      </w:r>
    </w:p>
    <w:p>
      <w:pPr>
        <w:pStyle w:val="7"/>
        <w:pageBreakBefore w:val="0"/>
        <w:numPr>
          <w:ilvl w:val="0"/>
          <w:numId w:val="0"/>
        </w:numPr>
        <w:kinsoku/>
        <w:wordWrap/>
        <w:overflowPunct/>
        <w:topLinePunct w:val="0"/>
        <w:autoSpaceDE/>
        <w:autoSpaceDN/>
        <w:bidi w:val="0"/>
        <w:spacing w:before="0" w:beforeLines="0" w:beforeAutospacing="0" w:after="0" w:afterLines="0" w:afterAutospacing="0" w:line="600" w:lineRule="exact"/>
        <w:ind w:left="0" w:firstLine="0"/>
        <w:textAlignment w:val="auto"/>
        <w:rPr>
          <w:rFonts w:hint="eastAsia" w:ascii="方正小标宋简体" w:hAnsi="方正小标宋简体" w:eastAsia="方正小标宋简体" w:cs="方正小标宋简体"/>
          <w:snapToGrid w:val="0"/>
          <w:kern w:val="0"/>
          <w:sz w:val="44"/>
          <w:szCs w:val="44"/>
        </w:rPr>
      </w:pPr>
    </w:p>
    <w:p>
      <w:pPr>
        <w:pStyle w:val="7"/>
        <w:pageBreakBefore w:val="0"/>
        <w:numPr>
          <w:ilvl w:val="0"/>
          <w:numId w:val="0"/>
        </w:numPr>
        <w:kinsoku/>
        <w:wordWrap/>
        <w:overflowPunct/>
        <w:topLinePunct w:val="0"/>
        <w:autoSpaceDE/>
        <w:autoSpaceDN/>
        <w:bidi w:val="0"/>
        <w:spacing w:before="0" w:beforeLines="0" w:beforeAutospacing="0" w:after="0" w:afterLines="0" w:afterAutospacing="0" w:line="600" w:lineRule="exact"/>
        <w:ind w:left="0" w:firstLine="0"/>
        <w:textAlignment w:val="auto"/>
        <w:rPr>
          <w:rFonts w:hint="eastAsia" w:ascii="方正小标宋简体" w:hAnsi="方正小标宋简体" w:eastAsia="方正小标宋简体" w:cs="方正小标宋简体"/>
          <w:color w:val="auto"/>
          <w:kern w:val="44"/>
          <w:sz w:val="44"/>
          <w:szCs w:val="44"/>
          <w:shd w:val="clear" w:color="auto" w:fill="FFFFFF"/>
        </w:rPr>
      </w:pPr>
      <w:r>
        <w:rPr>
          <w:rFonts w:hint="eastAsia" w:ascii="方正小标宋简体" w:hAnsi="方正小标宋简体" w:eastAsia="方正小标宋简体" w:cs="方正小标宋简体"/>
          <w:snapToGrid w:val="0"/>
          <w:kern w:val="0"/>
          <w:sz w:val="44"/>
          <w:szCs w:val="44"/>
        </w:rPr>
        <w:t>知识产权纠纷行政裁决</w:t>
      </w:r>
      <w:r>
        <w:rPr>
          <w:rFonts w:hint="eastAsia" w:ascii="方正小标宋简体" w:hAnsi="方正小标宋简体" w:eastAsia="方正小标宋简体" w:cs="方正小标宋简体"/>
          <w:snapToGrid w:val="0"/>
          <w:kern w:val="0"/>
          <w:sz w:val="44"/>
          <w:szCs w:val="44"/>
          <w:lang w:eastAsia="zh-CN"/>
        </w:rPr>
        <w:t>效能</w:t>
      </w:r>
      <w:r>
        <w:rPr>
          <w:rFonts w:hint="eastAsia" w:ascii="方正小标宋简体" w:hAnsi="方正小标宋简体" w:eastAsia="方正小标宋简体" w:cs="方正小标宋简体"/>
          <w:snapToGrid w:val="0"/>
          <w:kern w:val="0"/>
          <w:sz w:val="44"/>
          <w:szCs w:val="44"/>
        </w:rPr>
        <w:t>提升</w:t>
      </w:r>
      <w:r>
        <w:rPr>
          <w:rFonts w:hint="eastAsia" w:ascii="方正小标宋简体" w:hAnsi="方正小标宋简体" w:eastAsia="方正小标宋简体" w:cs="方正小标宋简体"/>
          <w:color w:val="auto"/>
          <w:kern w:val="44"/>
          <w:sz w:val="44"/>
          <w:szCs w:val="44"/>
          <w:shd w:val="clear" w:color="auto" w:fill="FFFFFF"/>
        </w:rPr>
        <w:t>项目</w:t>
      </w:r>
    </w:p>
    <w:p>
      <w:pPr>
        <w:pStyle w:val="7"/>
        <w:pageBreakBefore w:val="0"/>
        <w:numPr>
          <w:ilvl w:val="0"/>
          <w:numId w:val="0"/>
        </w:numPr>
        <w:kinsoku/>
        <w:wordWrap/>
        <w:overflowPunct/>
        <w:topLinePunct w:val="0"/>
        <w:autoSpaceDE/>
        <w:autoSpaceDN/>
        <w:bidi w:val="0"/>
        <w:spacing w:before="0" w:beforeLines="0" w:beforeAutospacing="0" w:after="0" w:afterLines="0" w:afterAutospacing="0" w:line="600" w:lineRule="exact"/>
        <w:ind w:left="0" w:firstLine="0"/>
        <w:textAlignment w:val="auto"/>
        <w:rPr>
          <w:rFonts w:hint="eastAsia" w:ascii="方正小标宋简体" w:hAnsi="方正小标宋简体" w:eastAsia="方正小标宋简体" w:cs="方正小标宋简体"/>
          <w:color w:val="auto"/>
          <w:kern w:val="44"/>
          <w:sz w:val="44"/>
          <w:szCs w:val="44"/>
          <w:shd w:val="clear" w:color="auto" w:fill="FFFFFF"/>
        </w:rPr>
      </w:pPr>
      <w:r>
        <w:rPr>
          <w:rFonts w:hint="eastAsia" w:ascii="方正小标宋简体" w:hAnsi="方正小标宋简体" w:eastAsia="方正小标宋简体" w:cs="方正小标宋简体"/>
          <w:color w:val="auto"/>
          <w:kern w:val="44"/>
          <w:sz w:val="44"/>
          <w:szCs w:val="44"/>
          <w:shd w:val="clear" w:color="auto" w:fill="FFFFFF"/>
        </w:rPr>
        <w:t>申报指南</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left"/>
        <w:textAlignment w:val="auto"/>
        <w:rPr>
          <w:rFonts w:hint="eastAsia" w:ascii="方正小标宋简体" w:hAnsi="方正小标宋简体" w:eastAsia="方正小标宋简体" w:cs="方正小标宋简体"/>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napToGrid w:val="0"/>
          <w:kern w:val="0"/>
          <w:sz w:val="32"/>
          <w:szCs w:val="32"/>
          <w:lang w:eastAsia="zh-CN"/>
        </w:rPr>
      </w:pPr>
      <w:r>
        <w:rPr>
          <w:rFonts w:hint="eastAsia" w:ascii="黑体" w:hAnsi="黑体" w:eastAsia="黑体" w:cs="黑体"/>
          <w:b w:val="0"/>
          <w:bCs w:val="0"/>
          <w:snapToGrid w:val="0"/>
          <w:kern w:val="0"/>
          <w:sz w:val="32"/>
          <w:szCs w:val="32"/>
          <w:lang w:eastAsia="zh-CN"/>
        </w:rPr>
        <w:t>一、项目名称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知识产权纠纷行政裁决效能提升项目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推动专利侵权纠纷行政裁决与市场监管综合行政执法融合，加强河源市知识产权纠纷行政裁决队伍专业化、职业化建设，加大专利侵权纠纷行政裁决力度，提升行政裁决效能。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napToGrid w:val="0"/>
          <w:kern w:val="0"/>
          <w:sz w:val="32"/>
          <w:szCs w:val="32"/>
          <w:lang w:eastAsia="zh-CN"/>
        </w:rPr>
      </w:pPr>
      <w:r>
        <w:rPr>
          <w:rFonts w:hint="eastAsia" w:ascii="黑体" w:hAnsi="黑体" w:eastAsia="黑体" w:cs="黑体"/>
          <w:b w:val="0"/>
          <w:bCs w:val="0"/>
          <w:snapToGrid w:val="0"/>
          <w:kern w:val="0"/>
          <w:sz w:val="32"/>
          <w:szCs w:val="32"/>
          <w:lang w:eastAsia="zh-CN"/>
        </w:rPr>
        <w:t>三、项目任务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（一）协助我市知识产权行政管理部门加强专利侵权纠纷行政裁决工作宣传，以印发专利侵权纠纷行政裁决工作宣传手册或举办宣传咨询活动等方式，提升创新主体利用行政裁决途径解决专利侵权纠纷的意识。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（二）根据我市知识产权行政管理部门工作需求，组织举办专利侵权纠纷行政裁决培训班不少于1场次，培训人数不少于</w:t>
      </w:r>
      <w:r>
        <w:rPr>
          <w:rFonts w:hint="eastAsia" w:ascii="仿宋_GB2312" w:hAnsi="仿宋_GB2312" w:eastAsia="仿宋_GB2312" w:cs="仿宋_GB2312"/>
          <w:sz w:val="32"/>
          <w:szCs w:val="32"/>
          <w:lang w:val="en-US" w:eastAsia="zh-CN"/>
        </w:rPr>
        <w:t>30人，</w:t>
      </w:r>
      <w:r>
        <w:rPr>
          <w:rFonts w:hint="eastAsia" w:ascii="仿宋_GB2312" w:hAnsi="仿宋_GB2312" w:eastAsia="仿宋_GB2312" w:cs="仿宋_GB2312"/>
          <w:sz w:val="32"/>
          <w:szCs w:val="32"/>
          <w:lang w:eastAsia="zh-CN"/>
        </w:rPr>
        <w:t>有效提升行政管理人员的行政裁决能力和水平。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（三）协助我市知识产权行政管理部门持续完善我市专利侵权纠纷行政裁决工作机制，在细化取证、固证等证据规则和技术调查、检验鉴定工作举措等方面提供专业意见。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（四）协助我市知识产权行政管理部门组织前往专利侵权纠纷行政裁决工作先进地区开展办案经验交流活动不少于</w:t>
      </w:r>
      <w:r>
        <w:rPr>
          <w:rFonts w:hint="eastAsia" w:ascii="仿宋_GB2312" w:hAnsi="仿宋_GB2312" w:eastAsia="仿宋_GB2312" w:cs="仿宋_GB2312"/>
          <w:sz w:val="32"/>
          <w:szCs w:val="32"/>
          <w:lang w:val="en-US" w:eastAsia="zh-CN"/>
        </w:rPr>
        <w:t>1次。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（五）根据我市知识产权行政管理部门工作需要，为专利侵权判定提供技术咨询服务。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（六）开展专利侵权纠纷专题调研，了解并收集企业关于专利侵权纠纷的相关诉求，形成专题调研分析报告，搭建知识产权行政管理部门与企业之间的法律咨询服务桥梁</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sz w:val="32"/>
        </w:rPr>
        <w:t>具有独立法人资格的</w:t>
      </w:r>
      <w:r>
        <w:rPr>
          <w:rFonts w:hint="eastAsia" w:ascii="仿宋_GB2312" w:hAnsi="仿宋_GB2312" w:eastAsia="仿宋_GB2312"/>
          <w:sz w:val="32"/>
          <w:lang w:eastAsia="zh-CN"/>
        </w:rPr>
        <w:t>企事业单位</w:t>
      </w:r>
      <w:r>
        <w:rPr>
          <w:rFonts w:hint="eastAsia" w:ascii="仿宋_GB2312" w:hAnsi="仿宋_GB2312" w:eastAsia="仿宋_GB2312"/>
          <w:sz w:val="32"/>
        </w:rPr>
        <w:t>、</w:t>
      </w:r>
      <w:r>
        <w:rPr>
          <w:rFonts w:hint="eastAsia" w:ascii="仿宋_GB2312" w:hAnsi="仿宋_GB2312" w:eastAsia="仿宋_GB2312"/>
          <w:sz w:val="32"/>
          <w:lang w:eastAsia="zh-CN"/>
        </w:rPr>
        <w:t>社会组织</w:t>
      </w:r>
      <w:r>
        <w:rPr>
          <w:rFonts w:hint="eastAsia" w:ascii="仿宋_GB2312" w:hAnsi="仿宋_GB2312" w:eastAsia="仿宋_GB2312" w:cs="仿宋_GB2312"/>
          <w:sz w:val="32"/>
          <w:szCs w:val="32"/>
          <w:lang w:eastAsia="zh-CN"/>
        </w:rPr>
        <w:t>，具备提供专利侵权判定技术咨询服务以及邀请知名专利侵权纠纷行政裁决专家开展培训业务的能力。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五、申报材料</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（一）《河源市202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年省下放市县知识产权专项资金知识产权保护类项目申报书》；</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（二）主体资格登记证书复印件、银行开户许可证复印件；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（三）近两年的财务报表；</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（四）申报条件要求的资质和经验证明材料；</w:t>
      </w:r>
    </w:p>
    <w:p>
      <w:pPr>
        <w:pStyle w:val="2"/>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eastAsia="仿宋_GB2312"/>
          <w:kern w:val="2"/>
          <w:sz w:val="32"/>
          <w:szCs w:val="32"/>
          <w:lang w:eastAsia="zh-CN"/>
        </w:rPr>
        <w:t>（</w:t>
      </w:r>
      <w:r>
        <w:rPr>
          <w:rFonts w:hint="eastAsia" w:ascii="仿宋_GB2312" w:hAnsi="仿宋_GB2312" w:eastAsia="仿宋_GB2312" w:cs="仿宋_GB2312"/>
          <w:kern w:val="2"/>
          <w:sz w:val="32"/>
          <w:szCs w:val="32"/>
          <w:lang w:val="en-US" w:eastAsia="zh-CN"/>
        </w:rPr>
        <w:t>五）其他证明申报单位优势的佐证材料；</w:t>
      </w:r>
    </w:p>
    <w:p>
      <w:pPr>
        <w:pStyle w:val="2"/>
        <w:pageBreakBefore w:val="0"/>
        <w:widowControl w:val="0"/>
        <w:numPr>
          <w:ilvl w:val="0"/>
          <w:numId w:val="0"/>
        </w:numPr>
        <w:tabs>
          <w:tab w:val="clear" w:pos="420"/>
        </w:tabs>
        <w:kinsoku/>
        <w:wordWrap/>
        <w:overflowPunct/>
        <w:topLinePunct w:val="0"/>
        <w:autoSpaceDE/>
        <w:autoSpaceDN/>
        <w:bidi w:val="0"/>
        <w:adjustRightInd/>
        <w:snapToGrid/>
        <w:spacing w:line="600" w:lineRule="exact"/>
        <w:ind w:firstLine="640" w:firstLineChars="200"/>
        <w:textAlignment w:val="auto"/>
        <w:rPr>
          <w:rFonts w:hint="default" w:eastAsiaTheme="minorEastAsia"/>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eastAsia="仿宋_GB2312"/>
          <w:kern w:val="2"/>
          <w:sz w:val="32"/>
          <w:szCs w:val="32"/>
        </w:rPr>
        <w:t>真实性承诺函</w:t>
      </w:r>
      <w:r>
        <w:rPr>
          <w:rFonts w:hint="eastAsia" w:eastAsia="仿宋_GB2312"/>
          <w:kern w:val="2"/>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上述材料均需加盖公章并在申报材料加盖骑缝章。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项，支持额度预计</w:t>
      </w:r>
      <w:r>
        <w:rPr>
          <w:rFonts w:hint="eastAsia" w:ascii="仿宋_GB2312" w:hAnsi="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万元；所有项目任务原则上需在2024年完成。</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58964188"/>
    <w:rsid w:val="0588057C"/>
    <w:rsid w:val="08CA494F"/>
    <w:rsid w:val="0E4B3D25"/>
    <w:rsid w:val="0E5276D3"/>
    <w:rsid w:val="0FDF4A0C"/>
    <w:rsid w:val="11144883"/>
    <w:rsid w:val="147F3BAB"/>
    <w:rsid w:val="150B0C12"/>
    <w:rsid w:val="1A9E63EF"/>
    <w:rsid w:val="297D0F5C"/>
    <w:rsid w:val="41A0123F"/>
    <w:rsid w:val="49214376"/>
    <w:rsid w:val="4F900E60"/>
    <w:rsid w:val="55ED2F1E"/>
    <w:rsid w:val="58143782"/>
    <w:rsid w:val="58964188"/>
    <w:rsid w:val="610756F7"/>
    <w:rsid w:val="66C27CD0"/>
    <w:rsid w:val="6E0826F0"/>
    <w:rsid w:val="7A3E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样式1"/>
    <w:basedOn w:val="2"/>
    <w:unhideWhenUsed/>
    <w:qFormat/>
    <w:uiPriority w:val="0"/>
    <w:pPr>
      <w:widowControl/>
      <w:adjustRightInd w:val="0"/>
      <w:snapToGrid w:val="0"/>
      <w:spacing w:before="100" w:beforeLines="0" w:beforeAutospacing="1" w:after="100" w:afterLines="0" w:afterAutospacing="1" w:line="640" w:lineRule="exact"/>
      <w:jc w:val="center"/>
    </w:pPr>
    <w:rPr>
      <w:rFonts w:hint="eastAsia" w:ascii="小标宋" w:eastAsia="小标宋"/>
      <w:color w:val="000000"/>
      <w:kern w:val="0"/>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河源市市场监管局</Company>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2023-10-27T08:32:00Z</dcterms:created>
  <dc:creator>陈明</dc:creator>
  <cp:lastModifiedBy>陈明</cp:lastModifiedBy>
  <dcterms:modified xsi:type="dcterms:W3CDTF">2024-02-04T08:50:37Z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B0BBCD9248E64ED98CA5CDCD29702DA8</vt:lpwstr>
  </property>
</Properties>
</file>