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创艺简标宋"/>
          <w:sz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创艺简标宋" w:eastAsia="方正小标宋简体" w:cs="创艺简标宋"/>
          <w:color w:val="000000"/>
          <w:sz w:val="44"/>
          <w:szCs w:val="44"/>
        </w:rPr>
      </w:pPr>
      <w:r>
        <w:rPr>
          <w:rFonts w:hint="eastAsia" w:ascii="方正小标宋简体" w:hAnsi="方正小标宋简体" w:eastAsia="方正小标宋简体" w:cs="方正小标宋简体"/>
          <w:color w:val="000000"/>
          <w:sz w:val="44"/>
          <w:szCs w:val="44"/>
        </w:rPr>
        <w:t>河源市2024年度地质灾害防治方案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color w:val="000000"/>
          <w:szCs w:val="32"/>
        </w:rPr>
      </w:pPr>
      <w:r>
        <w:rPr>
          <w:rFonts w:hint="eastAsia" w:ascii="仿宋_GB2312" w:hAnsi="仿宋_GB2312" w:eastAsia="仿宋_GB2312" w:cs="仿宋_GB2312"/>
          <w:color w:val="000000"/>
          <w:szCs w:val="32"/>
        </w:rPr>
        <w:t>为切实做好全市2024年度地质灾害防治工作，</w:t>
      </w:r>
      <w:r>
        <w:rPr>
          <w:rFonts w:hint="eastAsia" w:ascii="仿宋_GB2312" w:hAnsi="仿宋_GB2312" w:cs="仿宋_GB2312"/>
          <w:color w:val="000000"/>
          <w:szCs w:val="32"/>
          <w:lang w:eastAsia="zh-CN"/>
        </w:rPr>
        <w:t>最大限度降低</w:t>
      </w:r>
      <w:r>
        <w:rPr>
          <w:rFonts w:hint="eastAsia" w:ascii="仿宋_GB2312" w:hAnsi="仿宋_GB2312" w:eastAsia="仿宋_GB2312" w:cs="仿宋_GB2312"/>
          <w:color w:val="000000"/>
          <w:szCs w:val="32"/>
        </w:rPr>
        <w:t>地质灾害造成人员伤亡和经济损失，确保人民群众生命财产安全，促进经济和社会可持续发展，促进人与自然和谐共生</w:t>
      </w:r>
      <w:r>
        <w:rPr>
          <w:rFonts w:hint="eastAsia" w:ascii="仿宋_GB2312" w:hAnsi="仿宋_GB2312" w:cs="仿宋_GB2312"/>
          <w:color w:val="000000"/>
          <w:szCs w:val="32"/>
          <w:lang w:eastAsia="zh-CN"/>
        </w:rPr>
        <w:t>，</w:t>
      </w:r>
      <w:r>
        <w:rPr>
          <w:rFonts w:hint="eastAsia" w:ascii="仿宋_GB2312" w:hAnsi="仿宋_GB2312" w:eastAsia="仿宋_GB2312" w:cs="仿宋_GB2312"/>
          <w:color w:val="000000"/>
          <w:szCs w:val="32"/>
        </w:rPr>
        <w:t>根据《中华人民共和国突发事件应对法》《地质灾害防治条例》《广东省地质环境管理条例》《广东省人民政府关于进一步加强我省地质灾</w:t>
      </w:r>
      <w:r>
        <w:rPr>
          <w:rFonts w:ascii="Times New Roman" w:hAnsi="Times New Roman"/>
          <w:color w:val="000000"/>
          <w:szCs w:val="32"/>
        </w:rPr>
        <w:t>害防治工作意见》《河源市突发地质灾害应急预案（修订）》等有关要求，结合我市实际，制定本方案</w:t>
      </w:r>
      <w:r>
        <w:rPr>
          <w:rFonts w:hint="eastAsia" w:ascii="Times New Roman" w:hAnsi="Times New Roman"/>
          <w:color w:val="000000"/>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000000"/>
          <w:szCs w:val="32"/>
        </w:rPr>
      </w:pPr>
      <w:r>
        <w:rPr>
          <w:rFonts w:hint="eastAsia" w:ascii="黑体" w:hAnsi="黑体" w:eastAsia="黑体" w:cs="黑体"/>
          <w:color w:val="000000"/>
          <w:szCs w:val="32"/>
        </w:rPr>
        <w:t>一、202</w:t>
      </w:r>
      <w:r>
        <w:rPr>
          <w:rFonts w:hint="eastAsia" w:ascii="黑体" w:hAnsi="黑体" w:eastAsia="黑体" w:cs="黑体"/>
          <w:color w:val="000000"/>
          <w:szCs w:val="32"/>
          <w:lang w:val="en-US" w:eastAsia="zh-CN"/>
        </w:rPr>
        <w:t>4</w:t>
      </w:r>
      <w:r>
        <w:rPr>
          <w:rFonts w:hint="eastAsia" w:ascii="黑体" w:hAnsi="黑体" w:eastAsia="黑体" w:cs="黑体"/>
          <w:color w:val="000000"/>
          <w:szCs w:val="32"/>
        </w:rPr>
        <w:t>年全市地质灾害概况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Cs w:val="32"/>
        </w:rPr>
      </w:pPr>
      <w:r>
        <w:rPr>
          <w:rFonts w:hint="eastAsia" w:ascii="楷体_GB2312" w:hAnsi="楷体_GB2312" w:eastAsia="楷体_GB2312" w:cs="楷体_GB2312"/>
          <w:color w:val="000000"/>
          <w:szCs w:val="32"/>
          <w:lang w:eastAsia="zh-CN"/>
        </w:rPr>
        <w:t>（一）</w:t>
      </w:r>
      <w:r>
        <w:rPr>
          <w:rFonts w:hint="eastAsia" w:ascii="楷体_GB2312" w:hAnsi="楷体_GB2312" w:eastAsia="楷体_GB2312" w:cs="楷体_GB2312"/>
          <w:color w:val="000000"/>
          <w:szCs w:val="32"/>
        </w:rPr>
        <w:t>隐患点现状概况。</w:t>
      </w:r>
      <w:r>
        <w:rPr>
          <w:rFonts w:hint="eastAsia" w:ascii="Times New Roman" w:hAnsi="Times New Roman" w:cs="Times New Roman"/>
          <w:color w:val="000000"/>
          <w:szCs w:val="32"/>
        </w:rPr>
        <w:t>我市地质灾害呈点多、面广、规模小、危害大等特点。截至</w:t>
      </w:r>
      <w:r>
        <w:rPr>
          <w:rFonts w:hint="eastAsia" w:ascii="仿宋_GB2312" w:hAnsi="仿宋_GB2312" w:eastAsia="仿宋_GB2312" w:cs="仿宋_GB2312"/>
          <w:color w:val="000000"/>
          <w:szCs w:val="32"/>
        </w:rPr>
        <w:t>2023年12月31日，全市在册地质灾害隐患点524处，受威胁人口57088人，潜在经济损失192109.28万元</w:t>
      </w:r>
      <w:r>
        <w:rPr>
          <w:rFonts w:hint="eastAsia" w:ascii="仿宋_GB2312" w:hAnsi="仿宋_GB2312" w:eastAsia="仿宋_GB2312" w:cs="仿宋_GB2312"/>
          <w:color w:val="000000"/>
          <w:szCs w:val="32"/>
          <w:lang w:eastAsia="zh-CN"/>
        </w:rPr>
        <w:t>。截至</w:t>
      </w:r>
      <w:r>
        <w:rPr>
          <w:rFonts w:hint="eastAsia" w:ascii="仿宋_GB2312" w:hAnsi="仿宋_GB2312" w:eastAsia="仿宋_GB2312" w:cs="仿宋_GB2312"/>
          <w:color w:val="000000"/>
          <w:szCs w:val="32"/>
          <w:lang w:val="en-US" w:eastAsia="zh-CN"/>
        </w:rPr>
        <w:t>2024年1月31日，全市新增隐患点55处，2024年全市在册地质灾害隐患点579处，其中：</w:t>
      </w:r>
      <w:r>
        <w:rPr>
          <w:rFonts w:hint="eastAsia" w:ascii="仿宋_GB2312" w:hAnsi="仿宋_GB2312" w:eastAsia="仿宋_GB2312" w:cs="仿宋_GB2312"/>
          <w:color w:val="000000"/>
          <w:szCs w:val="32"/>
        </w:rPr>
        <w:t>全市威胁100人以上重要地质灾害隐患点153处，受威胁人口49168人，潜在经济损失160481.38万元</w:t>
      </w:r>
      <w:r>
        <w:rPr>
          <w:rFonts w:hint="eastAsia" w:ascii="仿宋_GB2312" w:hAnsi="仿宋_GB2312" w:eastAsia="仿宋_GB2312" w:cs="仿宋_GB2312"/>
          <w:color w:val="000000"/>
          <w:szCs w:val="32"/>
          <w:lang w:eastAsia="zh-CN"/>
        </w:rPr>
        <w:t>（见附件</w:t>
      </w:r>
      <w:r>
        <w:rPr>
          <w:rFonts w:hint="eastAsia" w:ascii="仿宋_GB2312" w:hAnsi="仿宋_GB2312" w:eastAsia="仿宋_GB2312" w:cs="仿宋_GB2312"/>
          <w:color w:val="000000"/>
          <w:szCs w:val="32"/>
          <w:lang w:val="en-US" w:eastAsia="zh-CN"/>
        </w:rPr>
        <w:t>1</w:t>
      </w:r>
      <w:r>
        <w:rPr>
          <w:rFonts w:hint="eastAsia" w:ascii="仿宋_GB2312" w:hAnsi="仿宋_GB2312" w:eastAsia="仿宋_GB2312" w:cs="仿宋_GB2312"/>
          <w:color w:val="000000"/>
          <w:szCs w:val="32"/>
          <w:lang w:eastAsia="zh-CN"/>
        </w:rPr>
        <w:t>）</w:t>
      </w:r>
      <w:r>
        <w:rPr>
          <w:rFonts w:hint="eastAsia" w:ascii="仿宋_GB2312" w:hAnsi="仿宋_GB2312" w:eastAsia="仿宋_GB2312" w:cs="仿宋_GB2312"/>
          <w:color w:val="000000"/>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Cs w:val="32"/>
        </w:rPr>
      </w:pPr>
      <w:r>
        <w:rPr>
          <w:rFonts w:hint="eastAsia" w:ascii="楷体_GB2312" w:hAnsi="楷体_GB2312" w:eastAsia="楷体_GB2312" w:cs="楷体_GB2312"/>
          <w:color w:val="000000"/>
          <w:szCs w:val="32"/>
          <w:lang w:eastAsia="zh-CN"/>
        </w:rPr>
        <w:t>（二）发育、分布特征及成灾规律。</w:t>
      </w:r>
      <w:r>
        <w:rPr>
          <w:rFonts w:hint="eastAsia" w:ascii="仿宋_GB2312" w:hAnsi="仿宋_GB2312" w:eastAsia="仿宋_GB2312" w:cs="仿宋_GB2312"/>
          <w:color w:val="000000"/>
          <w:szCs w:val="32"/>
          <w:lang w:val="en-US" w:eastAsia="zh-CN"/>
        </w:rPr>
        <w:t>我市地质灾害具有突发、多发、同发等特点，时空分布特征明显。每年汛期（4-9月份）是崩塌、滑坡、泥石流等地质灾害多发、易发期，每年的枯水期（1-3月、10-12月）是地面塌陷的易发期。在空间上，崩塌、滑坡、泥石流等地质灾害主要分布在花岗岩风化土层覆盖区及沉积岩风化松散岩土覆盖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color w:val="000000"/>
          <w:szCs w:val="32"/>
        </w:rPr>
      </w:pPr>
      <w:r>
        <w:rPr>
          <w:rFonts w:hint="eastAsia" w:ascii="楷体_GB2312" w:hAnsi="楷体_GB2312" w:eastAsia="楷体_GB2312" w:cs="楷体_GB2312"/>
          <w:color w:val="000000"/>
          <w:szCs w:val="32"/>
          <w:lang w:eastAsia="zh-CN"/>
        </w:rPr>
        <w:t>（三）发生灾情概况。</w:t>
      </w:r>
      <w:r>
        <w:rPr>
          <w:rFonts w:hint="eastAsia" w:ascii="仿宋_GB2312" w:hAnsi="仿宋_GB2312" w:eastAsia="仿宋_GB2312" w:cs="仿宋_GB2312"/>
          <w:color w:val="000000"/>
          <w:szCs w:val="32"/>
          <w:lang w:val="en-US" w:eastAsia="zh-CN"/>
        </w:rPr>
        <w:t>2023年全市因强降雨等因素诱发新增地质灾害1起，为不规范削坡建房形成的高陡危险边坡崩滑现象，无人员伤亡。2023年我市地质灾害发生率比往年偏低，地质灾害灾情较往年较轻。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Cs w:val="32"/>
        </w:rPr>
      </w:pPr>
      <w:r>
        <w:rPr>
          <w:rFonts w:hint="eastAsia" w:ascii="黑体" w:hAnsi="黑体" w:eastAsia="黑体" w:cs="黑体"/>
          <w:color w:val="000000"/>
          <w:szCs w:val="32"/>
        </w:rPr>
        <w:t>二、2024年地质灾害趋势分析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color w:val="000000"/>
        </w:rPr>
      </w:pPr>
      <w:r>
        <w:rPr>
          <w:rFonts w:hint="eastAsia" w:ascii="楷体_GB2312" w:hAnsi="楷体_GB2312" w:eastAsia="楷体_GB2312" w:cs="楷体_GB2312"/>
          <w:color w:val="000000"/>
          <w:szCs w:val="32"/>
          <w:lang w:eastAsia="zh-CN"/>
        </w:rPr>
        <w:t>（一）2024年天气气候趋势预测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预计2024年我市气象灾害主要表现为：“前涝后旱，局地气象干旱和洪涝灾害重，高温热害强，台风影响较大，阶段性、局地性气象灾害明显”。全市年平均气温21.5-22.5℃，偏高0.5-1.0℃；年平均降雨量为1600-1800毫米，与常年基本持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微软雅黑" w:cs="宋体"/>
          <w:color w:val="000000"/>
          <w:kern w:val="0"/>
          <w:szCs w:val="32"/>
        </w:rPr>
      </w:pPr>
      <w:r>
        <w:rPr>
          <w:rFonts w:hint="eastAsia" w:ascii="仿宋_GB2312" w:hAnsi="仿宋_GB2312" w:eastAsia="仿宋_GB2312" w:cs="仿宋_GB2312"/>
          <w:color w:val="000000"/>
          <w:szCs w:val="32"/>
          <w:lang w:val="en-US" w:eastAsia="zh-CN"/>
        </w:rPr>
        <w:t>气温和降雨预测：春季（3-5月），气温偏高0.2-0.5℃，降雨偏多1-2成。夏季（6-8月），气温偏高0.5℃左右，降雨偏少1-2成。秋季（9-11月），气温略偏高0.1-0.5℃，降雨偏多1成左右。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zCs w:val="32"/>
          <w:lang w:val="en-US" w:eastAsia="zh-CN"/>
        </w:rPr>
        <w:t>暴</w:t>
      </w:r>
      <w:r>
        <w:rPr>
          <w:rFonts w:hint="eastAsia" w:ascii="仿宋_GB2312" w:hAnsi="仿宋_GB2312" w:eastAsia="仿宋_GB2312" w:cs="仿宋_GB2312"/>
          <w:color w:val="000000"/>
          <w:spacing w:val="6"/>
          <w:sz w:val="32"/>
          <w:szCs w:val="32"/>
          <w:lang w:val="en-US" w:eastAsia="zh-CN"/>
        </w:rPr>
        <w:t>雨灾害预测：汛期内我市暴雨日数正常略偏多，降水集中期及台风可能带来极端强降水，出现局部性洪涝灾害和地质灾害。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龙舟水预测：龙舟水属偏重年景，降雨量较常年偏多1-2成。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color w:val="000000"/>
          <w:szCs w:val="32"/>
        </w:rPr>
      </w:pPr>
      <w:r>
        <w:rPr>
          <w:rFonts w:hint="eastAsia" w:ascii="仿宋_GB2312" w:hAnsi="仿宋_GB2312" w:eastAsia="仿宋_GB2312" w:cs="仿宋_GB2312"/>
          <w:color w:val="000000"/>
          <w:szCs w:val="32"/>
          <w:lang w:val="en-US" w:eastAsia="zh-CN"/>
        </w:rPr>
        <w:t>台风预测：登陆或严重影响我省的热带气旋有3-5个，其中影响我市的热带气旋有1个左右，与常年持平或略偏少。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楷体_GB2312"/>
          <w:color w:val="000000"/>
          <w:szCs w:val="32"/>
        </w:rPr>
      </w:pPr>
      <w:r>
        <w:rPr>
          <w:rFonts w:hint="eastAsia" w:ascii="楷体_GB2312" w:hAnsi="楷体_GB2312" w:eastAsia="楷体_GB2312" w:cs="楷体_GB2312"/>
          <w:color w:val="000000"/>
          <w:szCs w:val="32"/>
          <w:lang w:eastAsia="zh-CN"/>
        </w:rPr>
        <w:t>（二）地质灾害趋势预测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根据2024年降雨、台风趋势预测，结合近年来全市地质灾害发生情况及全市地质灾害隐患点分布特征，预计2024年全市地质灾害类型仍然以崩塌、滑坡、泥石流和地面塌陷为主，地质灾害的数量、规模及危害总体上与常年持平。具体预测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Cs w:val="32"/>
        </w:rPr>
      </w:pPr>
      <w:r>
        <w:rPr>
          <w:rFonts w:hint="eastAsia" w:ascii="仿宋_GB2312" w:hAnsi="仿宋_GB2312" w:eastAsia="仿宋_GB2312" w:cs="仿宋_GB2312"/>
          <w:color w:val="000000"/>
          <w:szCs w:val="32"/>
          <w:lang w:val="en-US" w:eastAsia="zh-CN"/>
        </w:rPr>
        <w:t>1.地质灾害易发、频发期。崩塌、滑坡、泥石流易发、频发期与集中降水期基本一致，一般出现在3-9月份，可能形成群发性崩塌、滑坡、泥石流地质灾害，是崩塌、滑坡、泥石流地质灾害重点防范期；10-12月份枯水期，应注意防范地面塌陷地质灾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2.地质灾害高发、群发区。我市东北部花岗岩风化土层覆盖区、西北部和东南部沉积岩风化松散岩土覆盖区及山塘水库河岸地带仍然是崩塌、滑坡、泥石流地质灾害高易发区，村镇居民削坡建房地带、矿山活动区及交通建设区段可能出现崩塌、滑坡、泥石流突发、群发现象；我市连平县、东源县、和平县隐伏灰岩覆盖区及东源县仙塘镇、紫金县义容镇矿山地下采空区可能发生地面塌陷地质灾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3.地质灾害主导、诱发因素。削坡建房、公路开挖及采矿活动等破坏地质环境的工程建设活动仍然是地质灾害主导因素。长时间强降雨或暴雨、地震、山塘水库蓄排水是地质灾害诱发因素，当连续降水达到150毫米（长时间降雨）或日降水达到80毫米以上（暴雨）时，发生崩塌、滑坡、泥石流地质灾害可能性较大；当连续降水达到200毫米（长时间强降雨）或日降水150毫米以上（大暴雨）时，发生崩塌、滑坡、泥石流地质灾害的可能性极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Cs w:val="32"/>
        </w:rPr>
      </w:pPr>
      <w:r>
        <w:rPr>
          <w:rFonts w:hint="eastAsia" w:ascii="仿宋_GB2312" w:hAnsi="仿宋_GB2312" w:eastAsia="仿宋_GB2312" w:cs="仿宋_GB2312"/>
          <w:color w:val="000000"/>
          <w:szCs w:val="32"/>
          <w:lang w:val="en-US" w:eastAsia="zh-CN"/>
        </w:rPr>
        <w:t>4.规模及危害对象。我市地质灾害仍然以中小规模为主，危害对象主要为村镇居民、农村中小学生等，村镇居民及农村中小学生是地质灾害防治知识宣传的主要对象，学校、居民点等是地质灾害防治工作督查重点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Cs w:val="32"/>
        </w:rPr>
      </w:pPr>
      <w:r>
        <w:rPr>
          <w:rFonts w:hint="eastAsia" w:ascii="黑体" w:hAnsi="黑体" w:eastAsia="黑体" w:cs="黑体"/>
          <w:color w:val="000000"/>
          <w:szCs w:val="32"/>
        </w:rPr>
        <w:t>三、2024年度地质灾害重点防范期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Cs w:val="32"/>
        </w:rPr>
      </w:pPr>
      <w:r>
        <w:rPr>
          <w:rFonts w:hint="eastAsia" w:ascii="仿宋_GB2312" w:hAnsi="仿宋_GB2312" w:eastAsia="仿宋_GB2312" w:cs="仿宋_GB2312"/>
          <w:color w:val="000000"/>
          <w:szCs w:val="32"/>
          <w:lang w:val="en-US" w:eastAsia="zh-CN"/>
        </w:rPr>
        <w:t>降雨量主要集中在汛期（4月-9月），尤其是4-7月是强降雨集中期，是崩塌、滑坡、泥石流等地质灾害的易发期；受台风气候影响，可能有暴雨或大暴雨等强降雨天气，台风期间也是地质灾害的易发期；常年小地震频发，对地质环境破坏较大，可能发生崩塌、滑坡、地面沉降、地裂缝等次生地质灾害，地震期间也是地质灾害的易发期。因此，我市地质灾害重点防范期包括汛期、台风期间及地震期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Cs w:val="32"/>
        </w:rPr>
      </w:pPr>
      <w:r>
        <w:rPr>
          <w:rFonts w:hint="eastAsia" w:ascii="黑体" w:hAnsi="黑体" w:eastAsia="黑体" w:cs="黑体"/>
          <w:color w:val="000000"/>
          <w:szCs w:val="32"/>
        </w:rPr>
        <w:t>四、重要地质灾害预防区、地段、隐患点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Cs w:val="32"/>
        </w:rPr>
      </w:pPr>
      <w:r>
        <w:rPr>
          <w:rFonts w:hint="eastAsia" w:ascii="仿宋_GB2312" w:hAnsi="仿宋_GB2312" w:eastAsia="仿宋_GB2312" w:cs="仿宋_GB2312"/>
          <w:color w:val="000000"/>
          <w:szCs w:val="32"/>
          <w:lang w:val="en-US" w:eastAsia="zh-CN"/>
        </w:rPr>
        <w:t>根据地质灾害成灾规律，结合我市地质环境条件及人类工程活动强度，我市2024年度地质灾害重点防范区段包括地质灾害高易发区、削坡建房现象严重的村镇居民点、交通道路开挖地段、采矿活动区等区域地段（见附件2），各县（区）政府（管委会）、市直各主管部门应根据本辖区地质灾害隐患情况和</w:t>
      </w:r>
      <w:r>
        <w:rPr>
          <w:rFonts w:hint="eastAsia" w:ascii="仿宋_GB2312" w:hAnsi="仿宋_GB2312" w:cs="仿宋_GB2312"/>
          <w:color w:val="000000"/>
          <w:szCs w:val="32"/>
          <w:lang w:val="en-US" w:eastAsia="zh-CN"/>
        </w:rPr>
        <w:t>本</w:t>
      </w:r>
      <w:r>
        <w:rPr>
          <w:rFonts w:hint="eastAsia" w:ascii="仿宋_GB2312" w:hAnsi="仿宋_GB2312" w:eastAsia="仿宋_GB2312" w:cs="仿宋_GB2312"/>
          <w:color w:val="000000"/>
          <w:szCs w:val="32"/>
          <w:lang w:val="en-US" w:eastAsia="zh-CN"/>
        </w:rPr>
        <w:t>系统地质灾害隐患情况，加强重要地段、隐患点地质灾害隐患的防范。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楷体_GB2312"/>
          <w:color w:val="000000"/>
          <w:szCs w:val="32"/>
        </w:rPr>
      </w:pPr>
      <w:r>
        <w:rPr>
          <w:rFonts w:hint="eastAsia" w:ascii="楷体_GB2312" w:hAnsi="楷体_GB2312" w:eastAsia="楷体_GB2312" w:cs="楷体_GB2312"/>
          <w:color w:val="000000"/>
          <w:szCs w:val="32"/>
          <w:lang w:eastAsia="zh-CN"/>
        </w:rPr>
        <w:t>（一）重点预防区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color w:val="000000"/>
          <w:szCs w:val="32"/>
        </w:rPr>
      </w:pPr>
      <w:r>
        <w:rPr>
          <w:rFonts w:hint="eastAsia" w:ascii="仿宋_GB2312" w:hAnsi="仿宋_GB2312" w:eastAsia="仿宋_GB2312" w:cs="仿宋_GB2312"/>
          <w:color w:val="000000"/>
          <w:szCs w:val="32"/>
          <w:lang w:val="en-US" w:eastAsia="zh-CN"/>
        </w:rPr>
        <w:t>我市东北部（和平县-龙川北部）花岗岩风化土层覆盖区、东南部（紫金县）花岗岩风化土层覆盖区、西北部（连平县西南）沉积岩风化松散岩土分布区为崩塌、滑坡、泥石流重点预防区；北中部（连平县西、东南-和平县南）隐伏灰岩分布区，东源县-江东新区萤石矿、连平县铁矿、紫金县铁矿等地下采空区为地面塌陷、地面沉降、地裂缝重点预防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楷体_GB2312"/>
          <w:color w:val="000000"/>
          <w:szCs w:val="32"/>
        </w:rPr>
      </w:pPr>
      <w:r>
        <w:rPr>
          <w:rFonts w:hint="eastAsia" w:ascii="楷体_GB2312" w:hAnsi="楷体_GB2312" w:eastAsia="楷体_GB2312" w:cs="楷体_GB2312"/>
          <w:color w:val="000000"/>
          <w:szCs w:val="32"/>
          <w:lang w:eastAsia="zh-CN"/>
        </w:rPr>
        <w:t>（二）重点预防地段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color w:val="000000"/>
          <w:szCs w:val="32"/>
        </w:rPr>
      </w:pPr>
      <w:r>
        <w:rPr>
          <w:rFonts w:hint="eastAsia" w:ascii="仿宋_GB2312" w:hAnsi="仿宋_GB2312" w:eastAsia="仿宋_GB2312" w:cs="仿宋_GB2312"/>
          <w:color w:val="000000"/>
          <w:szCs w:val="32"/>
          <w:lang w:val="en-US" w:eastAsia="zh-CN"/>
        </w:rPr>
        <w:t>境内新建或在建的交通道路、铁路等开挖、回填地段，新丰江、枫树坝及东江等水库河流库岸边坡地带居民点分布区为崩塌、滑坡、泥石流重点预防地段。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楷体_GB2312"/>
          <w:color w:val="000000"/>
          <w:szCs w:val="32"/>
        </w:rPr>
      </w:pPr>
      <w:r>
        <w:rPr>
          <w:rFonts w:hint="eastAsia" w:ascii="楷体_GB2312" w:hAnsi="楷体_GB2312" w:eastAsia="楷体_GB2312" w:cs="楷体_GB2312"/>
          <w:color w:val="000000"/>
          <w:szCs w:val="32"/>
          <w:lang w:eastAsia="zh-CN"/>
        </w:rPr>
        <w:t>（三）重点预防隐患点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color w:val="000000"/>
          <w:szCs w:val="32"/>
        </w:rPr>
      </w:pPr>
      <w:r>
        <w:rPr>
          <w:rFonts w:hint="eastAsia" w:ascii="仿宋_GB2312" w:hAnsi="仿宋_GB2312" w:eastAsia="仿宋_GB2312" w:cs="仿宋_GB2312"/>
          <w:color w:val="000000"/>
          <w:szCs w:val="32"/>
          <w:lang w:val="en-US" w:eastAsia="zh-CN"/>
        </w:rPr>
        <w:t>主要为地质环境破坏严重的矿区及受地质灾害威胁严重的村镇居民点、学校等。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olor w:val="000000"/>
          <w:szCs w:val="32"/>
        </w:rPr>
      </w:pPr>
      <w:r>
        <w:rPr>
          <w:rFonts w:ascii="Times New Roman" w:hAnsi="Times New Roman" w:eastAsia="黑体"/>
          <w:color w:val="000000"/>
          <w:szCs w:val="32"/>
        </w:rPr>
        <w:t>五、地质灾害防治措施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楷体_GB2312"/>
          <w:color w:val="000000"/>
          <w:szCs w:val="32"/>
        </w:rPr>
      </w:pPr>
      <w:r>
        <w:rPr>
          <w:rFonts w:hint="eastAsia" w:ascii="楷体_GB2312" w:hAnsi="楷体_GB2312" w:eastAsia="楷体_GB2312" w:cs="楷体_GB2312"/>
          <w:color w:val="000000"/>
          <w:szCs w:val="32"/>
          <w:lang w:eastAsia="zh-CN"/>
        </w:rPr>
        <w:t>（一）加强组织领导，落实防治灾害责任</w:t>
      </w:r>
    </w:p>
    <w:p>
      <w:pPr>
        <w:pStyle w:val="4"/>
        <w:keepNext w:val="0"/>
        <w:keepLines w:val="0"/>
        <w:pageBreakBefore w:val="0"/>
        <w:widowControl w:val="0"/>
        <w:kinsoku/>
        <w:wordWrap/>
        <w:overflowPunct/>
        <w:topLinePunct w:val="0"/>
        <w:autoSpaceDE/>
        <w:autoSpaceDN/>
        <w:bidi w:val="0"/>
        <w:adjustRightInd/>
        <w:snapToGrid/>
        <w:spacing w:before="0" w:line="600" w:lineRule="exact"/>
        <w:ind w:left="161" w:right="117" w:firstLine="635"/>
        <w:jc w:val="both"/>
        <w:textAlignment w:val="auto"/>
        <w:rPr>
          <w:rFonts w:hint="eastAsia" w:ascii="方正仿宋_GBK" w:hAnsi="方正仿宋_GBK" w:eastAsia="方正仿宋_GBK" w:cs="方正仿宋_GBK"/>
          <w:color w:val="000000"/>
          <w:kern w:val="2"/>
          <w:sz w:val="32"/>
          <w:szCs w:val="32"/>
          <w:lang w:eastAsia="zh-CN"/>
        </w:rPr>
      </w:pPr>
      <w:r>
        <w:rPr>
          <w:rFonts w:hint="eastAsia" w:ascii="仿宋_GB2312" w:hAnsi="仿宋_GB2312" w:eastAsia="仿宋_GB2312" w:cs="仿宋_GB2312"/>
          <w:color w:val="000000"/>
          <w:kern w:val="2"/>
          <w:sz w:val="32"/>
          <w:szCs w:val="32"/>
          <w:lang w:val="en-US" w:eastAsia="zh-CN" w:bidi="ar-SA"/>
        </w:rPr>
        <w:t>各级政府要把人民群众生命财产安全放在首位，及早全面部署2024年的地质灾害防治工作。要切实加强领导，落实责任制，明确具体负责人，做到领导到位、任务到位、人员到位、措施到位、资金到位。各级地质灾害防治工作领导小组和相关部门负责人要认真履行职责，周密部署，靠前指挥，快速反应，积极应对。各重大地质灾害隐患点必须按照防灾责任制的要求，制定应急防灾预案，落实所在地区、主管部门和相关单位的责任，并明确专人负责。各级自然资源主管部门要做好地质灾害防治的组织协调和监督工作，各县（区）政府（管委会），住建、交通运输、铁路、水务、应急、教育、旅游、财政、气象、地震、电力等主管部门，要按照各自职责组织做好辖区内或各自相关行业地质灾害隐患排查、监测、治理等地质灾害防治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1.各县（区）政府（管委会）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1）负责安排、落实辖区范围内地质灾害隐患及削坡建房点的排查、巡查、检查和监督管理工作，在重点防范期内应当加强对人口集中居住区、风景名胜区、工矿企业所在地、交通干线、水库、水电站和山塘等地质灾害隐患的排查、巡查和检查力度，发现险情及时处理和报告，做好监测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（2）负责推进辖区范围内地质灾害的群测群防工作，建立健全群测群防网络体系和监测网络。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3）负责组织督促辖区范围内已经明确的地质灾害隐患点的监测工作。在地质灾害隐患点危险区设置明显的警示标识牌，明确防灾责任人和监测责任人，对地质灾害隐患点危险区群众发放的“防灾明白卡”和“避险明白卡” 要及时到位。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（4）负责完成辖区内因地质灾害导致的危房调查、统计和上报工作。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5）地质灾害险情、灾情一旦发生，负责收集地质灾害发生的灾情、险情，按照《地质灾害报告制度》的要求，启动应急预案的，应当按照地质灾害应急预案的要求，立即启动相应级别的地质灾害应急预案，及时将灾（险）情向有关部门报告，迅速组织群众及其他人员撤离到安全地带，并进行妥善安置。情况紧急时，可以强行组织避灾疏散，努力减少人员伤亡和财产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（6）对本辖区地质灾害情况进行通报。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（7）编制年度地质灾害防治方案和防灾应急预案。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（8）将地质灾害的防治经费纳入财政预算，落实地质灾害防治专项资金。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2.市自然资源局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（1）负责全市地质灾害防范工作。组织协调开展因自然因素引发的地质灾害安全隐患的排查、巡查、检查、监测和监管，建立隐患点台账，督促落实防灾措施和责任人等群测群防工作。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kern w:val="30"/>
          <w:szCs w:val="32"/>
        </w:rPr>
      </w:pPr>
      <w:r>
        <w:rPr>
          <w:rFonts w:hint="eastAsia" w:ascii="仿宋_GB2312" w:hAnsi="仿宋_GB2312" w:eastAsia="仿宋_GB2312" w:cs="仿宋_GB2312"/>
          <w:color w:val="000000"/>
          <w:szCs w:val="32"/>
          <w:lang w:val="en-US" w:eastAsia="zh-CN"/>
        </w:rPr>
        <w:t>（2）承担地质灾害的有关日常工作；推进地质灾害预报预警体系的建立、落实健全应急值守制度和灾情速报制度，按有关规定报告地质灾害灾情、开展应急调查。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（3）负责收集、分析灾情信息，会同市气象部门发布地质灾害预报预警信息；参与市有关部门组织的地质灾害抢险、救助工作，组织专家进行地质灾害防范，提出防治措施。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（4）会同相关责任部门开展地质灾害调查、组织地质灾害险情的动态监测，修订突发性地质灾害应急预案，报市人民政府批准后公布实施。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（5）组织协调因自然因素造成的地质灾害项目治理申报、竣工验收及治理项目工程后期管理和维护。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（6）组织建立地质灾害群专结合的监测体系和建设群测群防网络，负责及督促全市地质灾害防治知识宣传、培训、应急演练。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7）监督各工程单位在工程规划或动工之前开展建设项目的地质灾害危险性评估工作，在地质灾害易发区内的建设项目，依法要求建设单位在申请建设用地时提供项目地质灾害危险性评估报告，未做相关地质灾害危险性评估报告的建设项目依法应不予办理用地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8）在编制、审核国土空间规划以及其它项目规划设计方案时，应当充分考虑地质灾害防治的要求，开展规划区域的地质灾害危险性评估，将地质灾害防治规划作为其组成部分，从源头上避免和减轻因地质灾害造成的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3.市财政局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（1）负责按国家和省、市有关规定安排地质灾害防治专项资金，做好财政专项预算。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（2）协助自然资源部门做好中央地质灾害防治资金申报工作和分配下达省级地质灾害防治资金工作。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（3）会同自然资源部门对地质灾害项目专项经费使用的监管。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4.市公安局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（1）负责组织、指挥公安机关维护灾区社会治安，参与突发性地质灾害抢险救灾，积极预防和妥善处置因地质灾害引发的群体性治安事件，做好进出灾区道路和灾区内交通疏导及管制工作。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（2）协同有关部门做好地质灾害区域受灾群众的转移和临时安置工作。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5.市应急管理局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（1）指导全市各类地质灾害应急工作，负责组织、协调救援工作。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（2）统筹组织调运救灾物资，协助灾区所在县（区）人民政府（管委会）及时设置避险场所和救济物资供应点，组织转移、安置和救济受灾群众。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（3）核定和报告灾情，及时向市地质灾害应急指挥部报告受灾群众救助和安置情况。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（4）监督和管理对救灾款物分配、发放的工作，做好地质灾害救济经费项目的申报工作。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 xml:space="preserve">（5）督促矿山企业做好安全生产工作。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（6）督促全市矿山企业开展尾矿库安全生产隐患排查治理。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6.市住房城乡建设局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（1）督促指导当地政府开展农村削坡建房风险点的排查及整治，建立隐患点台账，督促落实整治措施和责任人等。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2）对评估认为可能引发地质灾害或者有可能遭受地质灾害危害的建设工程，项目业主必须依法配套建设地质灾害治理工程，否则规划部门、住建部门不得核发建设工程规划许可证和施工许可。住建部门依职能对建设工程加强监督管理。一旦发生险情或灾情，及时赶赴现场，配合相关部门抢险救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（3）地质灾害治理工程的设计、施工和验收应当与主体工程的设计、施工、验收同时进行，依法监督已办理施工许可的地质灾害治理工程。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7.市发展改革局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（1）可行性研究报告未包含地质灾害危险性评估结果的，不得批准其可行性研究报告。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（2）负责地质灾害隐患点治理项目的立项审批。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8.市生态环境局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（1）在拟订并组织实施全市环境保护规划和计划时，把地质灾害影响作为重要内容。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（2）参与、协助有关部门调查因地质灾害造成的生态环境破坏事件。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9.市水务局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（1）督促组织对山塘水库、水电站地质灾害隐患的排查、巡查、检查、监测。落实重要水利设施地质灾害隐患点防灾预案的编制，开展地质灾害隐患的群测群防工作。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（2）督促相关单位落实水利工程地质灾害点的防灾责任人、监测责任人，在地质灾害危险区设立明显的警示标识，督促责任人及时治理灾害隐患。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（3）督促项目业主落实水利工程项目设计、建设中的地质灾害危险性评估和相应治理方案，并将防治效果纳入工程验收和评价工作中。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10.市教育局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（1）组织指导和督促县（区）教育行政部门和市直学校对危及学校安全的地质灾害（含建设活动中引发的地质灾害）进行排查、巡查、检查和监管，并按照有关规定及时做好学校范围内地质灾害的报告工作。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（2）组织指导和督促县（区）教育部门和市直学校按规定配合职能部门做好危及学校安全的地质灾害治理工作。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（3）指导和督促县（区）教育行政部门和市直学校开展校区内的地质灾害隐患点的群测群防工作，督促责任单位在地质灾害隐患点危险区设立明显的警示标识，落实防灾责任人、监测责任人、应急预案。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（4）组织指导或督促县（区）教育部门和市直学校督促责任单位负责的新建学校项目开展地质灾害危险性评估，经评估认为可能引发地质灾害的建设项目，要依法落实与主体工程建设配套的地质灾害治理工程。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（5）组织指导和督促县（区）教育行政部门和市直学校对师生进行地质灾害知识的宣传培训工作，参与配合地质灾害应急演练工作。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（6）组织指导、督促县（区）教育部门和市直学校做好学校范围内地质灾害事件的报告工作，配合职能部门做好调查处理工作。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11.市林业局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（1）负责指导全市风景林区、生态林区、经济林区、防护林区的地质灾害防治工作。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（2）负责指导开展管辖区域林地范围内地质灾害隐患的排查、巡查、检查，督促责任单位在地质灾害隐患点危险区设立明显的警示标识，落实地质灾害隐患点防灾责任人、监测责任人、监测措施、应急预案。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12.市交通运输局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（1）督促市公路部门及各县（区）交通公路部门对辖区内的国省道、农村公路及公路用地范围内的地质灾害隐患进行排查、巡查、检查、监测等地质灾害隐患群测群防工作。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（2）督促市公路部门及各县（区）交通公路部门在管辖范围内地质灾害危险路段设立醒目的警示标识，落实公路地质灾害防灾责任人、监测责任人，并依法采取封闭危险路段的措施。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3）负责督促和检查项目业主在立项、设计、建设等环节充分考虑和利用地质灾害防治规划和地质灾害危险性评估结果，对评估认为可能引发或遭受地质灾害危害的建设地段，应依法要求项目业主落实公路职责的地质灾害治理工程建设，并纳入工程验收工作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 xml:space="preserve">（4）负责监管辖区交通公路管养范围内地质灾害事件的报告，督促协调交通公路部门按职责治理危及群众生命财产安全的地质灾害的治理。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（5）负责协调辖区内铁路、海事、部门做好所属范围内的地质灾害防治工作。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13.市文化广电旅游体育局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督促市本级A级旅游景区和指导县（区）文化和旅游体育部门做好辖区内A级旅游景区地质灾害防治、隐患排查、巡查、监测、监管、治理和划定地质灾害危险区域，设立明显的警示标示工作。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14.市卫生健康局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（1）负责重大地质灾害发生区的卫生资源调度，组织力量及时抢救伤病员，做好灾区防疫工作，防止灾区疫情、疾病的传播、蔓延。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（2）及时向市地质灾害应急指挥部报告医疗救助和防疫情况。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15.市气象局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（1）负责及时发布气象监测、预报、预警信息，协同相关部门发布地质灾害气象风险预警信息。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（2）根据地质灾害防范工作需求，负责提供气象相关信息。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16.河源供电局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（1）负责对产权范围内配电设施、变电站周围及输配电线路两侧地质灾害排查、监测、治理等防治工作。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（2）负责地质灾害区域的产权范围内电力设施紧急抢修，确保电力可靠供应。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szCs w:val="32"/>
          <w:lang w:val="en-US" w:eastAsia="zh-CN"/>
        </w:rPr>
      </w:pPr>
      <w:r>
        <w:rPr>
          <w:rFonts w:hint="eastAsia" w:ascii="楷体_GB2312" w:hAnsi="楷体_GB2312" w:eastAsia="楷体_GB2312" w:cs="楷体_GB2312"/>
          <w:color w:val="000000"/>
          <w:szCs w:val="32"/>
          <w:lang w:val="en-US" w:eastAsia="zh-CN"/>
        </w:rPr>
        <w:t>（二）加强动态巡查，夯实防灾基础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各县（区）政府（管委会）和市直相关部门要按照职责，认真部署开展本系统内的地质灾害隐患排查工作，重点加强校区、医院、居民点、重要工程设施等人员聚集区、房屋建设切削点、水利设施、公路、铁路沿线和旅游区（点）以及矿山地质灾害隐患的汛前排查、汛中巡查、汛后复查动态巡查工作。汛期前对地质灾害危险区和重要地质灾害隐患点开展全面检查。汛期中开展巡查和突发隐患调查，并根据全市地质灾害预警信息，及时做好地质灾害隐患点的预警预报工作。汛期后开展复查与总结。所有地质灾害隐患点均要制定完善应急预案，落实防范措施，明确责任人，发放明白卡，竖立警示牌，确保隐患点周边人民群众生命财产安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000000"/>
          <w:kern w:val="2"/>
          <w:sz w:val="32"/>
          <w:szCs w:val="32"/>
          <w:lang w:eastAsia="zh-CN"/>
        </w:rPr>
      </w:pPr>
      <w:r>
        <w:rPr>
          <w:rFonts w:hint="eastAsia" w:ascii="仿宋_GB2312" w:hAnsi="仿宋_GB2312" w:eastAsia="仿宋_GB2312" w:cs="仿宋_GB2312"/>
          <w:color w:val="000000"/>
          <w:szCs w:val="32"/>
          <w:lang w:val="en-US" w:eastAsia="zh-CN"/>
        </w:rPr>
        <w:t>各县（区）自然资源行政主管部门要加强地质灾害隐患点的管理工作，完善隐患点的有关信息，确保所有隐患点均纳入系统中，通过调查和排查出来的地质灾害隐患点要及时纳入广东省地质灾害隐患点排查数据库管理系统。及时在管理系统中核销通过工程治理、搬迁避让等防治措施后已经消除威胁的原有地质灾害隐患点及因其它原因已经消除威胁的地质灾害隐患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楷体_GB2312"/>
          <w:color w:val="000000"/>
          <w:kern w:val="30"/>
          <w:szCs w:val="32"/>
        </w:rPr>
      </w:pPr>
      <w:r>
        <w:rPr>
          <w:rFonts w:ascii="Times New Roman" w:hAnsi="Times New Roman" w:eastAsia="楷体_GB2312"/>
          <w:color w:val="000000"/>
          <w:kern w:val="30"/>
          <w:szCs w:val="32"/>
        </w:rPr>
        <w:t>（三）加强监测预警，开展值班值守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各级自然资源部门要联合当地气象部门，做好辖区地质灾害气象预报预警工作，特别是强降雨过程的地质灾害实时预报，进一步完善地质灾害预警信息发布系统，充分利用电视、广播、网络、电话、传真、手机短信、微信宣传车和电子显示屏等各种媒体发布手段，及时将预警信息发送到应急值守人员、防灾责任人、群测群防监测员和受害威胁人员，确实做到早预警、早准备、早撤离，最大限度地避免地质灾害造成人员伤亡。参与应急调查工作，发生地质灾害灾情险情或社会热点关注的事件，所在县区自然资源主管部门应迅速组织有关专业技术人员开展调查，编制应急调查报告。严格执行地质灾害值班制度，主汛期、持续强降雨和台风引发暴雨等极端天气期间，实行24小时专人值班和领导带班制度，向社会公布值班人员名单、联系方式及值班电话，明确值班人员工作职责。发生人员伤亡和重大财产损失的地质灾害或者出现重大以上险情，必须在接到信息的1小时内速报市地灾应急指挥部办公室，并及时续报抢险救灾进展和灾情险情变化，保证数据准确、及时，做到不瞒报、不漏报、不错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color w:val="000000"/>
          <w:szCs w:val="32"/>
        </w:rPr>
      </w:pPr>
      <w:r>
        <w:rPr>
          <w:rFonts w:hint="eastAsia" w:ascii="仿宋_GB2312" w:hAnsi="仿宋_GB2312" w:eastAsia="仿宋_GB2312" w:cs="仿宋_GB2312"/>
          <w:color w:val="000000"/>
          <w:szCs w:val="32"/>
          <w:lang w:val="en-US" w:eastAsia="zh-CN"/>
        </w:rPr>
        <w:t>要充分发挥提高群测群防和应急值守人员的工作责任心和积极性。对主汛期间8小时工作时间以外负责开展地质灾害汛期监测巡查等工作的群测群防人员和汛期值班人员，原则上要给予补休，确因工作需要无法补休的按规定给予补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Times New Roman"/>
          <w:color w:val="000000"/>
          <w:kern w:val="30"/>
          <w:szCs w:val="32"/>
        </w:rPr>
      </w:pPr>
      <w:r>
        <w:rPr>
          <w:rFonts w:hint="eastAsia" w:ascii="Times New Roman" w:hAnsi="Times New Roman" w:eastAsia="楷体_GB2312" w:cs="Times New Roman"/>
          <w:color w:val="000000"/>
          <w:kern w:val="30"/>
          <w:szCs w:val="32"/>
          <w:lang w:val="en-US" w:eastAsia="zh-CN"/>
        </w:rPr>
        <w:t>（四）</w:t>
      </w:r>
      <w:r>
        <w:rPr>
          <w:rFonts w:hint="eastAsia" w:ascii="Times New Roman" w:hAnsi="Times New Roman" w:eastAsia="楷体_GB2312" w:cs="Times New Roman"/>
          <w:color w:val="000000"/>
          <w:kern w:val="30"/>
          <w:szCs w:val="32"/>
        </w:rPr>
        <w:t>加强工程监管，严控削坡建设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各地要严格执行地质灾害防治“三同时”制度，严格依法监督建设活动，发现违法行为应及时制止和查处，督促整改，从源头上严控人为新增地质灾害隐患。按照“降低存量风险，坚决遏制增量”的思路，深入开展存量农村削坡建房风险点综合治理，认真落实《河源市农村削坡建房风险点整治资金市县配套方案》，统筹省、市、县各级财政补助等多渠道保障整治资金。各县（区）要规范农村宅基地建房审批和强化农村建房全程监管，严把农村宅基地和建房规划许可审批关。对2020年1月1日以后削坡建房的农村住宅房屋，应作为新增削坡建房点予以区别处理，按照“谁审批、谁负责”和“谁引发、谁治理”的原则共同落实整治，乡镇人民政府（街道办事处）要加强监管，进一步加强削坡建房的用地管理和违法用地的查处，从源头上遏制新增削坡建房风险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color w:val="000000"/>
          <w:szCs w:val="32"/>
        </w:rPr>
      </w:pPr>
      <w:r>
        <w:rPr>
          <w:rFonts w:hint="eastAsia" w:ascii="仿宋_GB2312" w:hAnsi="仿宋_GB2312" w:eastAsia="仿宋_GB2312" w:cs="仿宋_GB2312"/>
          <w:color w:val="000000"/>
          <w:szCs w:val="32"/>
          <w:lang w:val="en-US" w:eastAsia="zh-CN"/>
        </w:rPr>
        <w:t>各地住建部门负责指导农村住房建设，依据上级部门文件出台农村削坡建房技术指引，深入开展削坡建房风险排查整治工作，消除或有效降低削坡建房风险。各级自然资源部门负责在国土空间规划编制审核实施中，结合村庄安全和防灾减灾要求，落实灾害影响范围和安全防护范围，提出预防和应对地质灾害的措施，为农村建设工作提供科学依据；编制包含削坡建房风险等级认定标准的削坡建房地质灾害风险防御指引，指导群众科学选址；进一步加强削坡建房的用地管理和对违法用地的查处，从源头上遏制新增削坡建房风险点。各级农业农村部门在推进美丽乡村建设工作中，要积极配合农村削坡建房避险搬迁工作，重点推进农村住房集中建设工作。各级人民政府要统筹做好农村住房集中建设工作，要依据国土空间规划及有关要求，做好地质灾害风险评估工作，避开地质灾害危险区和地质灾害易发点，科学确定农村住房集中建设选址；要组织各行业主管部门集中力量对辖区内削坡地段重点开展排查，不留死角，不留盲区，尤其是中小学校、幼儿园、医院、农贸市场、重要工程设施等人员聚集区等。针对工程建设削坡产生的地质灾害安全隐患，要依法责令施工单位立即停止削坡行为，督促项目工程建设单位聘请有资质的地质灾害危险性评估机构进行地质灾害危险性评估。对经评估认为可能引发地质灾害或者可能遭受地质灾害危害的建设工程，按照“谁引发、谁治理”的原则，应当要求配套建设地质灾害治理工程，并依法监督配套的地质灾害治理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楷体_GB2312"/>
          <w:color w:val="000000"/>
          <w:kern w:val="30"/>
          <w:szCs w:val="32"/>
        </w:rPr>
      </w:pPr>
      <w:r>
        <w:rPr>
          <w:rFonts w:ascii="Times New Roman" w:hAnsi="Times New Roman" w:eastAsia="楷体_GB2312"/>
          <w:color w:val="000000"/>
          <w:kern w:val="30"/>
          <w:szCs w:val="32"/>
        </w:rPr>
        <w:t>（五）加强资金投入，持续推进隐患治理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color w:val="000000"/>
          <w:kern w:val="30"/>
          <w:szCs w:val="32"/>
        </w:rPr>
      </w:pPr>
      <w:r>
        <w:rPr>
          <w:rFonts w:hint="eastAsia" w:ascii="仿宋_GB2312" w:hAnsi="仿宋_GB2312" w:eastAsia="仿宋_GB2312" w:cs="仿宋_GB2312"/>
          <w:color w:val="000000"/>
          <w:szCs w:val="32"/>
          <w:lang w:val="en-US" w:eastAsia="zh-CN"/>
        </w:rPr>
        <w:t>各县（区）政府（管委会）要加大地质灾害防治工作的资金投入力度，为地质灾害调查、评估、监测、搬迁、治理、应急救援队伍建设及信息平台体系建设等提供必需的工作经费，确保地质灾害防治和应急工作有序开展。同时多方筹集资金，加快本地区地质灾害隐患点搬迁与治理工作，因自然作用形成的地质灾害的治理，由自然资源主管部门组织实施，要积极做好申报立项，争取上级财政防治资金；因工程建设等人为活动引发的地质灾害隐患依法由业主单位和行业管理单位</w:t>
      </w:r>
      <w:r>
        <w:rPr>
          <w:rFonts w:hint="eastAsia" w:ascii="仿宋_GB2312" w:hAnsi="仿宋_GB2312" w:cs="仿宋_GB2312"/>
          <w:color w:val="000000"/>
          <w:szCs w:val="32"/>
          <w:lang w:val="en-US" w:eastAsia="zh-CN"/>
        </w:rPr>
        <w:t>、</w:t>
      </w:r>
      <w:r>
        <w:rPr>
          <w:rFonts w:hint="eastAsia" w:ascii="仿宋_GB2312" w:hAnsi="仿宋_GB2312" w:eastAsia="仿宋_GB2312" w:cs="仿宋_GB2312"/>
          <w:color w:val="000000"/>
          <w:szCs w:val="32"/>
          <w:lang w:val="en-US" w:eastAsia="zh-CN"/>
        </w:rPr>
        <w:t>责任单位承担治理和监管责任。</w:t>
      </w:r>
      <w:r>
        <w:rPr>
          <w:rFonts w:ascii="Times New Roman" w:hAnsi="Times New Roman"/>
          <w:color w:val="000000"/>
          <w:kern w:val="30"/>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楷体_GB2312"/>
          <w:color w:val="000000"/>
          <w:kern w:val="30"/>
          <w:szCs w:val="32"/>
        </w:rPr>
      </w:pPr>
      <w:r>
        <w:rPr>
          <w:rFonts w:ascii="Times New Roman" w:hAnsi="Times New Roman" w:eastAsia="楷体_GB2312"/>
          <w:color w:val="000000"/>
          <w:kern w:val="30"/>
          <w:szCs w:val="32"/>
        </w:rPr>
        <w:t>（六）加强宣传培训，普及防灾知识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kern w:val="30"/>
          <w:szCs w:val="32"/>
        </w:rPr>
      </w:pPr>
      <w:r>
        <w:rPr>
          <w:rFonts w:hint="eastAsia" w:ascii="仿宋_GB2312" w:hAnsi="仿宋_GB2312" w:eastAsia="仿宋_GB2312" w:cs="仿宋_GB2312"/>
          <w:color w:val="000000"/>
          <w:szCs w:val="32"/>
          <w:lang w:val="en-US" w:eastAsia="zh-CN"/>
        </w:rPr>
        <w:t>要充分利用电视、广播、报纸、网络等媒体，以“4·22”世界地球日、“5·12”防灾减灾日等，采取举办培训班、媒体播报、发放宣传材料、现场讲解防灾避灾知识等多种方式，加强法规政策和防灾减灾科普知识的宣传普及，不断提高社会各界和广大群众防灾避险的意识和能力。要加强业务和技能培训，不断提高基层地质灾害防治管理人员有效应对突发地质灾害的技能。要加强地质灾害应急演练，尤其对威胁人数在100人以上的地质灾害隐患点，要组织开展受威胁对象参与的应急避险演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olor w:val="000000"/>
          <w:kern w:val="30"/>
          <w:szCs w:val="32"/>
        </w:rPr>
      </w:pPr>
      <w:r>
        <w:rPr>
          <w:rFonts w:ascii="Times New Roman" w:hAnsi="Times New Roman" w:eastAsia="黑体"/>
          <w:color w:val="000000"/>
          <w:kern w:val="30"/>
          <w:szCs w:val="32"/>
        </w:rPr>
        <w:t>六、地质灾害监测预防及应急处置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根据《河源市贯彻落实国务院关于加强地质灾害防治工作决定重点工作分工方案》和《河源市突发地质灾害应急预案》要求，各级人民政府是地质灾害防治工作的责任主体，各县（区）自然资源、财政、应急、教育、生态环境、水务、交通、住建、铁路、旅游、气象等有关部门应按照“政府领导，部门联动，属地负责”原则，切实加强对本辖区、本系统地质灾害的监测预防、综合治理与应急管理工作。各县（区）政府（管委会）要配备人员和必要的交通、通信、抢险救灾等地质灾害应急装备，落实人员经费，确保各项工作正常开展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color w:val="000000"/>
          <w:kern w:val="30"/>
          <w:szCs w:val="32"/>
        </w:rPr>
      </w:pPr>
      <w:r>
        <w:rPr>
          <w:rFonts w:hint="eastAsia" w:ascii="仿宋_GB2312" w:hAnsi="仿宋_GB2312" w:eastAsia="仿宋_GB2312" w:cs="仿宋_GB2312"/>
          <w:color w:val="000000"/>
          <w:szCs w:val="32"/>
          <w:lang w:val="en-US" w:eastAsia="zh-CN"/>
        </w:rPr>
        <w:t>各县（区）政府（管委会）要抓紧修订、完善辖区突发地质灾害应急预案及应急响应工作方案，完成县级突发地质灾害应急预案修订工作。对于重要地质灾害危险点，要制定单点地质灾害防灾避险预案，并向社会公布。抓好突发地质灾害应急的各项准备工作，一旦发生重大地质灾害灾情或险情，应及时启动突发地质灾害应急预案。出现紧急险情，当地政府应采取果断措施，及时组织受威胁群众转移避让，并保障临时避灾群众的基本生活条件。各有关部门应当按照突发地质灾害应急预案的分工，做好相应的应急工作，根据需要组织开展应急排危除险，确保人民群众生命安全，力争全市实现“零伤亡”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color w:val="000000"/>
          <w:kern w:val="30"/>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30"/>
          <w:szCs w:val="32"/>
        </w:rPr>
      </w:pPr>
      <w:r>
        <w:rPr>
          <w:rFonts w:hint="eastAsia" w:ascii="仿宋_GB2312" w:hAnsi="仿宋_GB2312" w:eastAsia="仿宋_GB2312" w:cs="仿宋_GB2312"/>
          <w:color w:val="000000"/>
          <w:kern w:val="30"/>
          <w:szCs w:val="32"/>
        </w:rPr>
        <w:t>附件：1.河源市2024年地质灾害隐患点情况</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方正仿宋_GBK" w:hAnsi="方正仿宋_GBK" w:eastAsia="方正仿宋_GBK" w:cs="方正仿宋_GBK"/>
          <w:color w:val="000000"/>
          <w:kern w:val="30"/>
          <w:szCs w:val="32"/>
        </w:rPr>
        <w:sectPr>
          <w:footerReference r:id="rId3" w:type="default"/>
          <w:pgSz w:w="11906" w:h="16838"/>
          <w:pgMar w:top="2098" w:right="1474" w:bottom="1984" w:left="1587" w:header="851" w:footer="992" w:gutter="0"/>
          <w:pgNumType w:start="1"/>
          <w:cols w:space="720" w:num="1"/>
          <w:docGrid w:type="lines" w:linePitch="440" w:charSpace="0"/>
        </w:sectPr>
      </w:pPr>
      <w:r>
        <w:rPr>
          <w:rFonts w:hint="eastAsia" w:ascii="仿宋_GB2312" w:hAnsi="仿宋_GB2312" w:eastAsia="仿宋_GB2312" w:cs="仿宋_GB2312"/>
          <w:color w:val="000000"/>
          <w:kern w:val="30"/>
          <w:szCs w:val="32"/>
        </w:rPr>
        <w:t>2.河源市2024年地质灾害防范重点区段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bCs/>
          <w:szCs w:val="32"/>
        </w:rPr>
      </w:pPr>
      <w:r>
        <w:rPr>
          <w:rFonts w:hint="eastAsia" w:ascii="黑体" w:hAnsi="黑体" w:eastAsia="黑体"/>
          <w:bCs/>
          <w:szCs w:val="32"/>
        </w:rPr>
        <w:t>附件1</w:t>
      </w:r>
    </w:p>
    <w:p>
      <w:pPr>
        <w:keepNext w:val="0"/>
        <w:keepLines w:val="0"/>
        <w:pageBreakBefore w:val="0"/>
        <w:widowControl w:val="0"/>
        <w:kinsoku/>
        <w:wordWrap/>
        <w:overflowPunct/>
        <w:topLinePunct w:val="0"/>
        <w:autoSpaceDE/>
        <w:autoSpaceDN/>
        <w:bidi w:val="0"/>
        <w:adjustRightInd/>
        <w:snapToGrid/>
        <w:spacing w:line="560" w:lineRule="exact"/>
        <w:ind w:firstLine="872" w:firstLineChars="200"/>
        <w:jc w:val="center"/>
        <w:textAlignment w:val="auto"/>
        <w:rPr>
          <w:rFonts w:hint="eastAsia" w:ascii="方正黑体_GBK" w:hAnsi="方正黑体_GBK" w:eastAsia="方正黑体_GBK" w:cs="方正黑体_GBK"/>
          <w:bCs/>
          <w:sz w:val="32"/>
          <w:szCs w:val="32"/>
        </w:rPr>
      </w:pPr>
      <w:r>
        <w:rPr>
          <w:rFonts w:hint="eastAsia" w:ascii="方正小标宋简体" w:hAnsi="方正小标宋简体" w:eastAsia="方正小标宋简体" w:cs="方正小标宋简体"/>
          <w:bCs/>
          <w:sz w:val="44"/>
          <w:szCs w:val="44"/>
        </w:rPr>
        <w:t>河源市2024年地质灾害隐患点情况</w:t>
      </w:r>
    </w:p>
    <w:tbl>
      <w:tblPr>
        <w:tblStyle w:val="7"/>
        <w:tblW w:w="51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119"/>
        <w:gridCol w:w="757"/>
        <w:gridCol w:w="766"/>
        <w:gridCol w:w="757"/>
        <w:gridCol w:w="766"/>
        <w:gridCol w:w="596"/>
        <w:gridCol w:w="692"/>
        <w:gridCol w:w="843"/>
        <w:gridCol w:w="1217"/>
        <w:gridCol w:w="636"/>
        <w:gridCol w:w="677"/>
        <w:gridCol w:w="829"/>
        <w:gridCol w:w="1438"/>
        <w:gridCol w:w="551"/>
        <w:gridCol w:w="774"/>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序号</w:t>
            </w:r>
          </w:p>
        </w:tc>
        <w:tc>
          <w:tcPr>
            <w:tcW w:w="38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县区</w:t>
            </w:r>
          </w:p>
        </w:tc>
        <w:tc>
          <w:tcPr>
            <w:tcW w:w="529" w:type="pct"/>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20</w:t>
            </w:r>
            <w:r>
              <w:rPr>
                <w:rFonts w:ascii="黑体" w:hAnsi="黑体" w:eastAsia="黑体" w:cs="黑体"/>
                <w:sz w:val="21"/>
                <w:szCs w:val="21"/>
              </w:rPr>
              <w:t>22</w:t>
            </w:r>
            <w:r>
              <w:rPr>
                <w:rFonts w:hint="eastAsia" w:ascii="黑体" w:hAnsi="黑体" w:eastAsia="黑体" w:cs="黑体"/>
                <w:sz w:val="21"/>
                <w:szCs w:val="21"/>
              </w:rPr>
              <w:t>年底地</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质灾害隐患</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点（个）</w:t>
            </w:r>
          </w:p>
        </w:tc>
        <w:tc>
          <w:tcPr>
            <w:tcW w:w="529" w:type="pct"/>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20</w:t>
            </w:r>
            <w:r>
              <w:rPr>
                <w:rFonts w:ascii="黑体" w:hAnsi="黑体" w:eastAsia="黑体" w:cs="黑体"/>
                <w:sz w:val="21"/>
                <w:szCs w:val="21"/>
              </w:rPr>
              <w:t>23</w:t>
            </w:r>
            <w:r>
              <w:rPr>
                <w:rFonts w:hint="eastAsia" w:ascii="黑体" w:hAnsi="黑体" w:eastAsia="黑体" w:cs="黑体"/>
                <w:sz w:val="21"/>
                <w:szCs w:val="21"/>
              </w:rPr>
              <w:t>年核销</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地质灾害隐患点综合</w:t>
            </w:r>
            <w:r>
              <w:rPr>
                <w:rFonts w:ascii="黑体" w:hAnsi="黑体" w:eastAsia="黑体" w:cs="黑体"/>
                <w:sz w:val="21"/>
                <w:szCs w:val="21"/>
              </w:rPr>
              <w:t>治理点</w:t>
            </w:r>
            <w:r>
              <w:rPr>
                <w:rFonts w:hint="eastAsia" w:ascii="黑体" w:hAnsi="黑体" w:eastAsia="黑体" w:cs="黑体"/>
                <w:sz w:val="21"/>
                <w:szCs w:val="21"/>
              </w:rPr>
              <w:t>（个）</w:t>
            </w:r>
          </w:p>
        </w:tc>
        <w:tc>
          <w:tcPr>
            <w:tcW w:w="1163" w:type="pct"/>
            <w:gridSpan w:val="4"/>
            <w:vMerge w:val="restar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20</w:t>
            </w:r>
            <w:r>
              <w:rPr>
                <w:rFonts w:ascii="黑体" w:hAnsi="黑体" w:eastAsia="黑体" w:cs="黑体"/>
                <w:sz w:val="21"/>
                <w:szCs w:val="21"/>
              </w:rPr>
              <w:t>23</w:t>
            </w:r>
            <w:r>
              <w:rPr>
                <w:rFonts w:hint="eastAsia" w:ascii="黑体" w:hAnsi="黑体" w:eastAsia="黑体" w:cs="黑体"/>
                <w:sz w:val="21"/>
                <w:szCs w:val="21"/>
              </w:rPr>
              <w:t>年地质灾害隐患点（个）</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(数据截至2023年12月31日)</w:t>
            </w:r>
          </w:p>
        </w:tc>
        <w:tc>
          <w:tcPr>
            <w:tcW w:w="2208" w:type="pct"/>
            <w:gridSpan w:val="7"/>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20</w:t>
            </w:r>
            <w:r>
              <w:rPr>
                <w:rFonts w:ascii="黑体" w:hAnsi="黑体" w:eastAsia="黑体" w:cs="黑体"/>
                <w:sz w:val="21"/>
                <w:szCs w:val="21"/>
              </w:rPr>
              <w:t>24</w:t>
            </w:r>
            <w:r>
              <w:rPr>
                <w:rFonts w:hint="eastAsia" w:ascii="黑体" w:hAnsi="黑体" w:eastAsia="黑体" w:cs="黑体"/>
                <w:sz w:val="21"/>
                <w:szCs w:val="21"/>
              </w:rPr>
              <w:t>年地质灾害隐患点情况(数据</w:t>
            </w:r>
            <w:r>
              <w:rPr>
                <w:rFonts w:ascii="黑体" w:hAnsi="黑体" w:eastAsia="黑体" w:cs="黑体"/>
                <w:sz w:val="21"/>
                <w:szCs w:val="21"/>
              </w:rPr>
              <w:t>截</w:t>
            </w:r>
            <w:r>
              <w:rPr>
                <w:rFonts w:hint="eastAsia" w:ascii="黑体" w:hAnsi="黑体" w:eastAsia="黑体" w:cs="黑体"/>
                <w:sz w:val="21"/>
                <w:szCs w:val="21"/>
              </w:rPr>
              <w:t>至</w:t>
            </w:r>
            <w:r>
              <w:rPr>
                <w:rFonts w:hint="eastAsia" w:ascii="黑体" w:hAnsi="黑体" w:eastAsia="黑体" w:cs="黑体"/>
                <w:sz w:val="21"/>
                <w:szCs w:val="21"/>
                <w:lang w:val="en-US" w:eastAsia="zh-CN"/>
              </w:rPr>
              <w:t>20</w:t>
            </w:r>
            <w:r>
              <w:rPr>
                <w:rFonts w:hint="eastAsia" w:ascii="黑体" w:hAnsi="黑体" w:eastAsia="黑体" w:cs="黑体"/>
                <w:sz w:val="21"/>
                <w:szCs w:val="21"/>
              </w:rPr>
              <w:t>2</w:t>
            </w:r>
            <w:r>
              <w:rPr>
                <w:rFonts w:ascii="黑体" w:hAnsi="黑体" w:eastAsia="黑体" w:cs="黑体"/>
                <w:sz w:val="21"/>
                <w:szCs w:val="21"/>
              </w:rPr>
              <w:t>4</w:t>
            </w:r>
            <w:r>
              <w:rPr>
                <w:rFonts w:hint="eastAsia" w:ascii="黑体" w:hAnsi="黑体" w:eastAsia="黑体" w:cs="黑体"/>
                <w:sz w:val="21"/>
                <w:szCs w:val="21"/>
              </w:rPr>
              <w:t>年</w:t>
            </w:r>
            <w:r>
              <w:rPr>
                <w:rFonts w:ascii="黑体" w:hAnsi="黑体" w:eastAsia="黑体" w:cs="黑体"/>
                <w:sz w:val="21"/>
                <w:szCs w:val="21"/>
              </w:rPr>
              <w:t>1</w:t>
            </w:r>
            <w:r>
              <w:rPr>
                <w:rFonts w:hint="eastAsia" w:ascii="黑体" w:hAnsi="黑体" w:eastAsia="黑体" w:cs="黑体"/>
                <w:sz w:val="21"/>
                <w:szCs w:val="21"/>
              </w:rPr>
              <w:t>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80"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1"/>
                <w:szCs w:val="21"/>
              </w:rPr>
            </w:pPr>
          </w:p>
        </w:tc>
        <w:tc>
          <w:tcPr>
            <w:tcW w:w="38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1"/>
                <w:szCs w:val="21"/>
              </w:rPr>
            </w:pPr>
          </w:p>
        </w:tc>
        <w:tc>
          <w:tcPr>
            <w:tcW w:w="529"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1"/>
                <w:szCs w:val="21"/>
              </w:rPr>
            </w:pPr>
          </w:p>
        </w:tc>
        <w:tc>
          <w:tcPr>
            <w:tcW w:w="529"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1"/>
                <w:szCs w:val="21"/>
              </w:rPr>
            </w:pPr>
          </w:p>
        </w:tc>
        <w:tc>
          <w:tcPr>
            <w:tcW w:w="1163" w:type="pct"/>
            <w:gridSpan w:val="4"/>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1"/>
                <w:szCs w:val="21"/>
              </w:rPr>
            </w:pPr>
          </w:p>
        </w:tc>
        <w:tc>
          <w:tcPr>
            <w:tcW w:w="1243"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地质灾害隐患点总数</w:t>
            </w:r>
          </w:p>
        </w:tc>
        <w:tc>
          <w:tcPr>
            <w:tcW w:w="964"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其中威胁100人以上地质灾害隐患点情况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80"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1"/>
                <w:szCs w:val="21"/>
              </w:rPr>
            </w:pPr>
          </w:p>
        </w:tc>
        <w:tc>
          <w:tcPr>
            <w:tcW w:w="38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1"/>
                <w:szCs w:val="21"/>
              </w:rPr>
            </w:pPr>
          </w:p>
        </w:tc>
        <w:tc>
          <w:tcPr>
            <w:tcW w:w="263"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总数</w:t>
            </w:r>
          </w:p>
        </w:tc>
        <w:tc>
          <w:tcPr>
            <w:tcW w:w="266"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威胁100人以上</w:t>
            </w:r>
          </w:p>
        </w:tc>
        <w:tc>
          <w:tcPr>
            <w:tcW w:w="263"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总数</w:t>
            </w:r>
          </w:p>
        </w:tc>
        <w:tc>
          <w:tcPr>
            <w:tcW w:w="266"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威胁100人以上</w:t>
            </w:r>
          </w:p>
        </w:tc>
        <w:tc>
          <w:tcPr>
            <w:tcW w:w="207"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总数</w:t>
            </w:r>
          </w:p>
        </w:tc>
        <w:tc>
          <w:tcPr>
            <w:tcW w:w="240"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新增隐患点</w:t>
            </w:r>
          </w:p>
        </w:tc>
        <w:tc>
          <w:tcPr>
            <w:tcW w:w="292"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kern w:val="2"/>
                <w:sz w:val="21"/>
                <w:szCs w:val="21"/>
                <w:lang w:val="en-US" w:eastAsia="zh-CN" w:bidi="ar-SA"/>
              </w:rPr>
            </w:pPr>
            <w:r>
              <w:rPr>
                <w:rFonts w:hint="eastAsia" w:ascii="黑体" w:hAnsi="黑体" w:eastAsia="黑体" w:cs="黑体"/>
                <w:sz w:val="21"/>
                <w:szCs w:val="21"/>
              </w:rPr>
              <w:t>威胁人数（人）</w:t>
            </w:r>
          </w:p>
        </w:tc>
        <w:tc>
          <w:tcPr>
            <w:tcW w:w="422"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kern w:val="2"/>
                <w:sz w:val="21"/>
                <w:szCs w:val="21"/>
                <w:lang w:val="en-US" w:eastAsia="zh-CN" w:bidi="ar-SA"/>
              </w:rPr>
            </w:pPr>
            <w:r>
              <w:rPr>
                <w:rFonts w:hint="eastAsia" w:ascii="黑体" w:hAnsi="黑体" w:eastAsia="黑体" w:cs="黑体"/>
                <w:sz w:val="21"/>
                <w:szCs w:val="21"/>
              </w:rPr>
              <w:t>潜在经济损失（万元）</w:t>
            </w:r>
          </w:p>
        </w:tc>
        <w:tc>
          <w:tcPr>
            <w:tcW w:w="220"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总数</w:t>
            </w:r>
          </w:p>
        </w:tc>
        <w:tc>
          <w:tcPr>
            <w:tcW w:w="235"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新增</w:t>
            </w:r>
            <w:r>
              <w:rPr>
                <w:rFonts w:ascii="黑体" w:hAnsi="黑体" w:eastAsia="黑体" w:cs="黑体"/>
                <w:sz w:val="21"/>
                <w:szCs w:val="21"/>
              </w:rPr>
              <w:t>隐患点</w:t>
            </w:r>
            <w:r>
              <w:rPr>
                <w:rFonts w:hint="eastAsia" w:ascii="黑体" w:hAnsi="黑体" w:eastAsia="黑体" w:cs="黑体"/>
                <w:sz w:val="21"/>
                <w:szCs w:val="21"/>
              </w:rPr>
              <w:t xml:space="preserve"> </w:t>
            </w:r>
          </w:p>
        </w:tc>
        <w:tc>
          <w:tcPr>
            <w:tcW w:w="288"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威胁人数（人）</w:t>
            </w:r>
          </w:p>
        </w:tc>
        <w:tc>
          <w:tcPr>
            <w:tcW w:w="499"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潜在经济损失（万元）</w:t>
            </w:r>
          </w:p>
        </w:tc>
        <w:tc>
          <w:tcPr>
            <w:tcW w:w="191"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总数</w:t>
            </w:r>
          </w:p>
        </w:tc>
        <w:tc>
          <w:tcPr>
            <w:tcW w:w="268"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威胁人数（人）</w:t>
            </w:r>
          </w:p>
        </w:tc>
        <w:tc>
          <w:tcPr>
            <w:tcW w:w="504"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潜在经济损失（万元）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569"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hint="eastAsia" w:ascii="仿宋_GB2312" w:hAnsi="仿宋_GB2312" w:cs="仿宋_GB2312"/>
                <w:color w:val="auto"/>
                <w:sz w:val="21"/>
                <w:szCs w:val="21"/>
              </w:rPr>
              <w:t>全市合计</w:t>
            </w:r>
          </w:p>
        </w:tc>
        <w:tc>
          <w:tcPr>
            <w:tcW w:w="263"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566</w:t>
            </w:r>
          </w:p>
        </w:tc>
        <w:tc>
          <w:tcPr>
            <w:tcW w:w="266"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165</w:t>
            </w:r>
          </w:p>
        </w:tc>
        <w:tc>
          <w:tcPr>
            <w:tcW w:w="263"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43</w:t>
            </w:r>
          </w:p>
        </w:tc>
        <w:tc>
          <w:tcPr>
            <w:tcW w:w="266"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12</w:t>
            </w:r>
          </w:p>
        </w:tc>
        <w:tc>
          <w:tcPr>
            <w:tcW w:w="207"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524</w:t>
            </w:r>
          </w:p>
        </w:tc>
        <w:tc>
          <w:tcPr>
            <w:tcW w:w="240"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cs="仿宋_GB2312"/>
                <w:color w:val="auto"/>
                <w:sz w:val="21"/>
                <w:szCs w:val="21"/>
                <w:lang w:val="en-US" w:eastAsia="zh-CN"/>
              </w:rPr>
              <w:t>1</w:t>
            </w:r>
          </w:p>
        </w:tc>
        <w:tc>
          <w:tcPr>
            <w:tcW w:w="292"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cs="仿宋_GB2312"/>
                <w:color w:val="auto"/>
                <w:sz w:val="21"/>
                <w:szCs w:val="21"/>
                <w:lang w:val="en-US" w:eastAsia="zh-CN"/>
              </w:rPr>
            </w:pPr>
            <w:r>
              <w:rPr>
                <w:rFonts w:hint="eastAsia" w:ascii="仿宋_GB2312" w:hAnsi="仿宋_GB2312" w:cs="仿宋_GB2312"/>
                <w:color w:val="auto"/>
                <w:sz w:val="21"/>
                <w:szCs w:val="21"/>
                <w:lang w:val="en-US" w:eastAsia="zh-CN"/>
              </w:rPr>
              <w:t>57088</w:t>
            </w:r>
          </w:p>
        </w:tc>
        <w:tc>
          <w:tcPr>
            <w:tcW w:w="422"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cs="仿宋_GB2312"/>
                <w:color w:val="auto"/>
                <w:sz w:val="21"/>
                <w:szCs w:val="21"/>
                <w:lang w:val="en-US" w:eastAsia="zh-CN"/>
              </w:rPr>
            </w:pPr>
            <w:r>
              <w:rPr>
                <w:rFonts w:hint="eastAsia" w:ascii="仿宋_GB2312" w:hAnsi="仿宋_GB2312" w:cs="仿宋_GB2312"/>
                <w:color w:val="auto"/>
                <w:sz w:val="21"/>
                <w:szCs w:val="21"/>
                <w:lang w:val="en-US" w:eastAsia="zh-CN"/>
              </w:rPr>
              <w:t>192109.28</w:t>
            </w:r>
          </w:p>
        </w:tc>
        <w:tc>
          <w:tcPr>
            <w:tcW w:w="220"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579</w:t>
            </w:r>
          </w:p>
        </w:tc>
        <w:tc>
          <w:tcPr>
            <w:tcW w:w="235"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cs="仿宋_GB2312"/>
                <w:color w:val="auto"/>
                <w:sz w:val="21"/>
                <w:szCs w:val="21"/>
              </w:rPr>
            </w:pPr>
            <w:r>
              <w:rPr>
                <w:rFonts w:hint="eastAsia" w:ascii="仿宋_GB2312" w:hAnsi="仿宋_GB2312" w:cs="仿宋_GB2312"/>
                <w:color w:val="auto"/>
                <w:sz w:val="21"/>
                <w:szCs w:val="21"/>
              </w:rPr>
              <w:t>5</w:t>
            </w:r>
            <w:r>
              <w:rPr>
                <w:rFonts w:ascii="仿宋_GB2312" w:hAnsi="仿宋_GB2312" w:cs="仿宋_GB2312"/>
                <w:color w:val="auto"/>
                <w:sz w:val="21"/>
                <w:szCs w:val="21"/>
              </w:rPr>
              <w:t>5</w:t>
            </w:r>
          </w:p>
        </w:tc>
        <w:tc>
          <w:tcPr>
            <w:tcW w:w="288"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59405</w:t>
            </w:r>
          </w:p>
        </w:tc>
        <w:tc>
          <w:tcPr>
            <w:tcW w:w="499"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right="236"/>
              <w:jc w:val="right"/>
              <w:textAlignment w:val="auto"/>
              <w:rPr>
                <w:rFonts w:hint="eastAsia" w:ascii="仿宋_GB2312" w:hAnsi="仿宋_GB2312" w:cs="仿宋_GB2312"/>
                <w:color w:val="auto"/>
                <w:sz w:val="21"/>
                <w:szCs w:val="21"/>
              </w:rPr>
            </w:pPr>
            <w:r>
              <w:rPr>
                <w:rFonts w:ascii="仿宋_GB2312" w:hAnsi="仿宋_GB2312" w:cs="仿宋_GB2312"/>
                <w:color w:val="auto"/>
                <w:sz w:val="21"/>
                <w:szCs w:val="21"/>
              </w:rPr>
              <w:t>1999</w:t>
            </w:r>
            <w:r>
              <w:rPr>
                <w:rFonts w:hint="eastAsia" w:ascii="仿宋_GB2312" w:hAnsi="仿宋_GB2312" w:cs="仿宋_GB2312"/>
                <w:color w:val="auto"/>
                <w:sz w:val="21"/>
                <w:szCs w:val="21"/>
                <w:lang w:val="en-US" w:eastAsia="zh-CN"/>
              </w:rPr>
              <w:t>6</w:t>
            </w:r>
            <w:r>
              <w:rPr>
                <w:rFonts w:ascii="仿宋_GB2312" w:hAnsi="仿宋_GB2312" w:cs="仿宋_GB2312"/>
                <w:color w:val="auto"/>
                <w:sz w:val="21"/>
                <w:szCs w:val="21"/>
              </w:rPr>
              <w:t>7.28</w:t>
            </w:r>
          </w:p>
        </w:tc>
        <w:tc>
          <w:tcPr>
            <w:tcW w:w="191"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153</w:t>
            </w:r>
          </w:p>
        </w:tc>
        <w:tc>
          <w:tcPr>
            <w:tcW w:w="268"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49168</w:t>
            </w:r>
          </w:p>
        </w:tc>
        <w:tc>
          <w:tcPr>
            <w:tcW w:w="504"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right="236"/>
              <w:jc w:val="right"/>
              <w:textAlignment w:val="auto"/>
              <w:rPr>
                <w:rFonts w:hint="eastAsia" w:ascii="仿宋_GB2312" w:hAnsi="仿宋_GB2312" w:cs="仿宋_GB2312"/>
                <w:color w:val="auto"/>
                <w:sz w:val="21"/>
                <w:szCs w:val="21"/>
              </w:rPr>
            </w:pPr>
            <w:r>
              <w:rPr>
                <w:rFonts w:ascii="仿宋_GB2312" w:hAnsi="仿宋_GB2312" w:cs="仿宋_GB2312"/>
                <w:color w:val="auto"/>
                <w:sz w:val="21"/>
                <w:szCs w:val="21"/>
              </w:rPr>
              <w:t>160481.38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80"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hint="eastAsia" w:ascii="仿宋_GB2312" w:hAnsi="仿宋_GB2312" w:cs="仿宋_GB2312"/>
                <w:color w:val="auto"/>
                <w:sz w:val="21"/>
                <w:szCs w:val="21"/>
              </w:rPr>
              <w:t>1</w:t>
            </w:r>
          </w:p>
        </w:tc>
        <w:tc>
          <w:tcPr>
            <w:tcW w:w="388"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hint="eastAsia" w:ascii="仿宋_GB2312" w:hAnsi="仿宋_GB2312" w:cs="仿宋_GB2312"/>
                <w:color w:val="auto"/>
                <w:sz w:val="21"/>
                <w:szCs w:val="21"/>
              </w:rPr>
              <w:t>连平</w:t>
            </w:r>
            <w:r>
              <w:rPr>
                <w:rFonts w:hint="eastAsia" w:ascii="仿宋_GB2312" w:hAnsi="仿宋_GB2312" w:cs="仿宋_GB2312"/>
                <w:color w:val="auto"/>
                <w:sz w:val="21"/>
                <w:szCs w:val="21"/>
                <w:lang w:eastAsia="zh-CN"/>
              </w:rPr>
              <w:t>县</w:t>
            </w:r>
          </w:p>
        </w:tc>
        <w:tc>
          <w:tcPr>
            <w:tcW w:w="263"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133</w:t>
            </w:r>
          </w:p>
        </w:tc>
        <w:tc>
          <w:tcPr>
            <w:tcW w:w="266"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18</w:t>
            </w:r>
          </w:p>
        </w:tc>
        <w:tc>
          <w:tcPr>
            <w:tcW w:w="263"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2</w:t>
            </w:r>
          </w:p>
        </w:tc>
        <w:tc>
          <w:tcPr>
            <w:tcW w:w="266"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cs="仿宋_GB2312"/>
                <w:color w:val="auto"/>
                <w:sz w:val="21"/>
                <w:szCs w:val="21"/>
                <w:lang w:val="en-US" w:eastAsia="zh-CN"/>
              </w:rPr>
              <w:t>1</w:t>
            </w:r>
          </w:p>
        </w:tc>
        <w:tc>
          <w:tcPr>
            <w:tcW w:w="207"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131</w:t>
            </w:r>
          </w:p>
        </w:tc>
        <w:tc>
          <w:tcPr>
            <w:tcW w:w="240"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hint="eastAsia" w:ascii="仿宋_GB2312" w:hAnsi="仿宋_GB2312" w:cs="仿宋_GB2312"/>
                <w:color w:val="auto"/>
                <w:sz w:val="21"/>
                <w:szCs w:val="21"/>
              </w:rPr>
              <w:t>0</w:t>
            </w:r>
          </w:p>
        </w:tc>
        <w:tc>
          <w:tcPr>
            <w:tcW w:w="292"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6097</w:t>
            </w:r>
          </w:p>
        </w:tc>
        <w:tc>
          <w:tcPr>
            <w:tcW w:w="422"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20241.8</w:t>
            </w:r>
          </w:p>
        </w:tc>
        <w:tc>
          <w:tcPr>
            <w:tcW w:w="220"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131</w:t>
            </w:r>
          </w:p>
        </w:tc>
        <w:tc>
          <w:tcPr>
            <w:tcW w:w="235"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cs="仿宋_GB2312"/>
                <w:color w:val="auto"/>
                <w:sz w:val="21"/>
                <w:szCs w:val="21"/>
              </w:rPr>
            </w:pPr>
            <w:r>
              <w:rPr>
                <w:rFonts w:hint="eastAsia" w:ascii="仿宋_GB2312" w:hAnsi="仿宋_GB2312" w:cs="仿宋_GB2312"/>
                <w:color w:val="auto"/>
                <w:sz w:val="21"/>
                <w:szCs w:val="21"/>
              </w:rPr>
              <w:t>0</w:t>
            </w:r>
          </w:p>
        </w:tc>
        <w:tc>
          <w:tcPr>
            <w:tcW w:w="288"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6902</w:t>
            </w:r>
          </w:p>
        </w:tc>
        <w:tc>
          <w:tcPr>
            <w:tcW w:w="499"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20241.8</w:t>
            </w:r>
          </w:p>
        </w:tc>
        <w:tc>
          <w:tcPr>
            <w:tcW w:w="191"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17</w:t>
            </w:r>
          </w:p>
        </w:tc>
        <w:tc>
          <w:tcPr>
            <w:tcW w:w="268"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3856</w:t>
            </w:r>
          </w:p>
        </w:tc>
        <w:tc>
          <w:tcPr>
            <w:tcW w:w="504"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13970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80"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hint="eastAsia" w:ascii="仿宋_GB2312" w:hAnsi="仿宋_GB2312" w:cs="仿宋_GB2312"/>
                <w:color w:val="auto"/>
                <w:sz w:val="21"/>
                <w:szCs w:val="21"/>
              </w:rPr>
              <w:t>2</w:t>
            </w:r>
          </w:p>
        </w:tc>
        <w:tc>
          <w:tcPr>
            <w:tcW w:w="388"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hint="eastAsia" w:ascii="仿宋_GB2312" w:hAnsi="仿宋_GB2312" w:cs="仿宋_GB2312"/>
                <w:color w:val="auto"/>
                <w:sz w:val="21"/>
                <w:szCs w:val="21"/>
              </w:rPr>
              <w:t>龙川</w:t>
            </w:r>
            <w:r>
              <w:rPr>
                <w:rFonts w:hint="eastAsia" w:ascii="仿宋_GB2312" w:hAnsi="仿宋_GB2312" w:cs="仿宋_GB2312"/>
                <w:color w:val="auto"/>
                <w:sz w:val="21"/>
                <w:szCs w:val="21"/>
                <w:lang w:eastAsia="zh-CN"/>
              </w:rPr>
              <w:t>县</w:t>
            </w:r>
          </w:p>
        </w:tc>
        <w:tc>
          <w:tcPr>
            <w:tcW w:w="263"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135</w:t>
            </w:r>
          </w:p>
        </w:tc>
        <w:tc>
          <w:tcPr>
            <w:tcW w:w="266"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52</w:t>
            </w:r>
          </w:p>
        </w:tc>
        <w:tc>
          <w:tcPr>
            <w:tcW w:w="263"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18</w:t>
            </w:r>
          </w:p>
        </w:tc>
        <w:tc>
          <w:tcPr>
            <w:tcW w:w="266"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cs="仿宋_GB2312"/>
                <w:color w:val="auto"/>
                <w:sz w:val="21"/>
                <w:szCs w:val="21"/>
                <w:lang w:val="en-US" w:eastAsia="zh-CN"/>
              </w:rPr>
              <w:t>4</w:t>
            </w:r>
          </w:p>
        </w:tc>
        <w:tc>
          <w:tcPr>
            <w:tcW w:w="207"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117</w:t>
            </w:r>
          </w:p>
        </w:tc>
        <w:tc>
          <w:tcPr>
            <w:tcW w:w="240"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hint="eastAsia" w:ascii="仿宋_GB2312" w:hAnsi="仿宋_GB2312" w:cs="仿宋_GB2312"/>
                <w:color w:val="auto"/>
                <w:sz w:val="21"/>
                <w:szCs w:val="21"/>
              </w:rPr>
              <w:t>0</w:t>
            </w:r>
          </w:p>
        </w:tc>
        <w:tc>
          <w:tcPr>
            <w:tcW w:w="292"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15402</w:t>
            </w:r>
          </w:p>
        </w:tc>
        <w:tc>
          <w:tcPr>
            <w:tcW w:w="422"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67961</w:t>
            </w:r>
          </w:p>
        </w:tc>
        <w:tc>
          <w:tcPr>
            <w:tcW w:w="220"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171</w:t>
            </w:r>
          </w:p>
        </w:tc>
        <w:tc>
          <w:tcPr>
            <w:tcW w:w="235"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cs="仿宋_GB2312"/>
                <w:color w:val="auto"/>
                <w:sz w:val="21"/>
                <w:szCs w:val="21"/>
              </w:rPr>
            </w:pPr>
            <w:r>
              <w:rPr>
                <w:rFonts w:hint="eastAsia" w:ascii="仿宋_GB2312" w:hAnsi="仿宋_GB2312" w:cs="仿宋_GB2312"/>
                <w:color w:val="auto"/>
                <w:sz w:val="21"/>
                <w:szCs w:val="21"/>
              </w:rPr>
              <w:t>54</w:t>
            </w:r>
          </w:p>
        </w:tc>
        <w:tc>
          <w:tcPr>
            <w:tcW w:w="288"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16899</w:t>
            </w:r>
          </w:p>
        </w:tc>
        <w:tc>
          <w:tcPr>
            <w:tcW w:w="499"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75789</w:t>
            </w:r>
          </w:p>
        </w:tc>
        <w:tc>
          <w:tcPr>
            <w:tcW w:w="191"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48</w:t>
            </w:r>
          </w:p>
        </w:tc>
        <w:tc>
          <w:tcPr>
            <w:tcW w:w="268"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13711</w:t>
            </w:r>
          </w:p>
        </w:tc>
        <w:tc>
          <w:tcPr>
            <w:tcW w:w="504"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55739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hint="eastAsia" w:ascii="仿宋_GB2312" w:hAnsi="仿宋_GB2312" w:cs="仿宋_GB2312"/>
                <w:color w:val="auto"/>
                <w:sz w:val="21"/>
                <w:szCs w:val="21"/>
              </w:rPr>
              <w:t>3</w:t>
            </w:r>
          </w:p>
        </w:tc>
        <w:tc>
          <w:tcPr>
            <w:tcW w:w="388"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hint="eastAsia" w:ascii="仿宋_GB2312" w:hAnsi="仿宋_GB2312" w:cs="仿宋_GB2312"/>
                <w:color w:val="auto"/>
                <w:sz w:val="21"/>
                <w:szCs w:val="21"/>
              </w:rPr>
              <w:t>和平</w:t>
            </w:r>
            <w:r>
              <w:rPr>
                <w:rFonts w:hint="eastAsia" w:ascii="仿宋_GB2312" w:hAnsi="仿宋_GB2312" w:cs="仿宋_GB2312"/>
                <w:color w:val="auto"/>
                <w:sz w:val="21"/>
                <w:szCs w:val="21"/>
                <w:lang w:eastAsia="zh-CN"/>
              </w:rPr>
              <w:t>县</w:t>
            </w:r>
          </w:p>
        </w:tc>
        <w:tc>
          <w:tcPr>
            <w:tcW w:w="263"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51</w:t>
            </w:r>
          </w:p>
        </w:tc>
        <w:tc>
          <w:tcPr>
            <w:tcW w:w="266"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30</w:t>
            </w:r>
          </w:p>
        </w:tc>
        <w:tc>
          <w:tcPr>
            <w:tcW w:w="263"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7</w:t>
            </w:r>
          </w:p>
        </w:tc>
        <w:tc>
          <w:tcPr>
            <w:tcW w:w="266"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cs="仿宋_GB2312"/>
                <w:color w:val="auto"/>
                <w:sz w:val="21"/>
                <w:szCs w:val="21"/>
                <w:lang w:val="en-US" w:eastAsia="zh-CN"/>
              </w:rPr>
              <w:t>7</w:t>
            </w:r>
          </w:p>
        </w:tc>
        <w:tc>
          <w:tcPr>
            <w:tcW w:w="207"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44</w:t>
            </w:r>
          </w:p>
        </w:tc>
        <w:tc>
          <w:tcPr>
            <w:tcW w:w="240"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hint="eastAsia" w:ascii="仿宋_GB2312" w:hAnsi="仿宋_GB2312" w:cs="仿宋_GB2312"/>
                <w:color w:val="auto"/>
                <w:sz w:val="21"/>
                <w:szCs w:val="21"/>
              </w:rPr>
              <w:t>0</w:t>
            </w:r>
          </w:p>
        </w:tc>
        <w:tc>
          <w:tcPr>
            <w:tcW w:w="292"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8484</w:t>
            </w:r>
          </w:p>
        </w:tc>
        <w:tc>
          <w:tcPr>
            <w:tcW w:w="422"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29164</w:t>
            </w:r>
          </w:p>
        </w:tc>
        <w:tc>
          <w:tcPr>
            <w:tcW w:w="220"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44</w:t>
            </w:r>
          </w:p>
        </w:tc>
        <w:tc>
          <w:tcPr>
            <w:tcW w:w="235"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cs="仿宋_GB2312"/>
                <w:color w:val="auto"/>
                <w:sz w:val="21"/>
                <w:szCs w:val="21"/>
              </w:rPr>
            </w:pPr>
            <w:r>
              <w:rPr>
                <w:rFonts w:hint="eastAsia" w:ascii="仿宋_GB2312" w:hAnsi="仿宋_GB2312" w:cs="仿宋_GB2312"/>
                <w:color w:val="auto"/>
                <w:sz w:val="21"/>
                <w:szCs w:val="21"/>
              </w:rPr>
              <w:t>0</w:t>
            </w:r>
          </w:p>
        </w:tc>
        <w:tc>
          <w:tcPr>
            <w:tcW w:w="288"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8484</w:t>
            </w:r>
          </w:p>
        </w:tc>
        <w:tc>
          <w:tcPr>
            <w:tcW w:w="499"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29164</w:t>
            </w:r>
          </w:p>
        </w:tc>
        <w:tc>
          <w:tcPr>
            <w:tcW w:w="191"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23</w:t>
            </w:r>
          </w:p>
        </w:tc>
        <w:tc>
          <w:tcPr>
            <w:tcW w:w="268"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7460</w:t>
            </w:r>
          </w:p>
        </w:tc>
        <w:tc>
          <w:tcPr>
            <w:tcW w:w="504"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24485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0"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hint="eastAsia" w:ascii="仿宋_GB2312" w:hAnsi="仿宋_GB2312" w:cs="仿宋_GB2312"/>
                <w:color w:val="auto"/>
                <w:sz w:val="21"/>
                <w:szCs w:val="21"/>
              </w:rPr>
              <w:t>4</w:t>
            </w:r>
          </w:p>
        </w:tc>
        <w:tc>
          <w:tcPr>
            <w:tcW w:w="388"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hint="eastAsia" w:ascii="仿宋_GB2312" w:hAnsi="仿宋_GB2312" w:cs="仿宋_GB2312"/>
                <w:color w:val="auto"/>
                <w:sz w:val="21"/>
                <w:szCs w:val="21"/>
              </w:rPr>
              <w:t>紫金</w:t>
            </w:r>
            <w:r>
              <w:rPr>
                <w:rFonts w:hint="eastAsia" w:ascii="仿宋_GB2312" w:hAnsi="仿宋_GB2312" w:cs="仿宋_GB2312"/>
                <w:color w:val="auto"/>
                <w:sz w:val="21"/>
                <w:szCs w:val="21"/>
                <w:lang w:eastAsia="zh-CN"/>
              </w:rPr>
              <w:t>县</w:t>
            </w:r>
            <w:r>
              <w:rPr>
                <w:rFonts w:hint="eastAsia" w:ascii="仿宋_GB2312" w:hAnsi="仿宋_GB2312" w:cs="仿宋_GB2312"/>
                <w:color w:val="auto"/>
                <w:sz w:val="21"/>
                <w:szCs w:val="21"/>
              </w:rPr>
              <w:t>(含</w:t>
            </w:r>
            <w:r>
              <w:rPr>
                <w:rFonts w:ascii="仿宋_GB2312" w:hAnsi="仿宋_GB2312" w:cs="仿宋_GB2312"/>
                <w:color w:val="auto"/>
                <w:sz w:val="21"/>
                <w:szCs w:val="21"/>
              </w:rPr>
              <w:t>江东</w:t>
            </w:r>
            <w:r>
              <w:rPr>
                <w:rFonts w:hint="eastAsia" w:ascii="仿宋_GB2312" w:hAnsi="仿宋_GB2312" w:cs="仿宋_GB2312"/>
                <w:color w:val="auto"/>
                <w:sz w:val="21"/>
                <w:szCs w:val="21"/>
              </w:rPr>
              <w:t>)</w:t>
            </w:r>
          </w:p>
        </w:tc>
        <w:tc>
          <w:tcPr>
            <w:tcW w:w="263"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219</w:t>
            </w:r>
          </w:p>
        </w:tc>
        <w:tc>
          <w:tcPr>
            <w:tcW w:w="266"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45</w:t>
            </w:r>
          </w:p>
        </w:tc>
        <w:tc>
          <w:tcPr>
            <w:tcW w:w="263"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16</w:t>
            </w:r>
          </w:p>
        </w:tc>
        <w:tc>
          <w:tcPr>
            <w:tcW w:w="266"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cs="仿宋_GB2312"/>
                <w:color w:val="auto"/>
                <w:sz w:val="21"/>
                <w:szCs w:val="21"/>
                <w:lang w:val="en-US" w:eastAsia="zh-CN"/>
              </w:rPr>
              <w:t>0</w:t>
            </w:r>
          </w:p>
        </w:tc>
        <w:tc>
          <w:tcPr>
            <w:tcW w:w="207"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204</w:t>
            </w:r>
          </w:p>
        </w:tc>
        <w:tc>
          <w:tcPr>
            <w:tcW w:w="240"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1</w:t>
            </w:r>
          </w:p>
        </w:tc>
        <w:tc>
          <w:tcPr>
            <w:tcW w:w="292"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22094</w:t>
            </w:r>
          </w:p>
        </w:tc>
        <w:tc>
          <w:tcPr>
            <w:tcW w:w="422"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36887.05</w:t>
            </w:r>
          </w:p>
        </w:tc>
        <w:tc>
          <w:tcPr>
            <w:tcW w:w="220"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auto"/>
                <w:sz w:val="21"/>
                <w:szCs w:val="21"/>
                <w:lang w:eastAsia="zh-CN"/>
              </w:rPr>
            </w:pPr>
            <w:r>
              <w:rPr>
                <w:rFonts w:ascii="仿宋_GB2312" w:hAnsi="仿宋_GB2312" w:cs="仿宋_GB2312"/>
                <w:color w:val="auto"/>
                <w:sz w:val="21"/>
                <w:szCs w:val="21"/>
              </w:rPr>
              <w:t>20</w:t>
            </w:r>
            <w:r>
              <w:rPr>
                <w:rFonts w:hint="eastAsia" w:ascii="仿宋_GB2312" w:hAnsi="仿宋_GB2312" w:cs="仿宋_GB2312"/>
                <w:color w:val="auto"/>
                <w:sz w:val="21"/>
                <w:szCs w:val="21"/>
                <w:lang w:val="en-US" w:eastAsia="zh-CN"/>
              </w:rPr>
              <w:t>5</w:t>
            </w:r>
          </w:p>
        </w:tc>
        <w:tc>
          <w:tcPr>
            <w:tcW w:w="235"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cs="仿宋_GB2312"/>
                <w:color w:val="auto"/>
                <w:sz w:val="21"/>
                <w:szCs w:val="21"/>
              </w:rPr>
            </w:pPr>
            <w:r>
              <w:rPr>
                <w:rFonts w:ascii="仿宋_GB2312" w:hAnsi="仿宋_GB2312" w:cs="仿宋_GB2312"/>
                <w:color w:val="auto"/>
                <w:sz w:val="21"/>
                <w:szCs w:val="21"/>
              </w:rPr>
              <w:t>1</w:t>
            </w:r>
          </w:p>
        </w:tc>
        <w:tc>
          <w:tcPr>
            <w:tcW w:w="288"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22109</w:t>
            </w:r>
          </w:p>
        </w:tc>
        <w:tc>
          <w:tcPr>
            <w:tcW w:w="499"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36897.05</w:t>
            </w:r>
          </w:p>
        </w:tc>
        <w:tc>
          <w:tcPr>
            <w:tcW w:w="191"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45</w:t>
            </w:r>
          </w:p>
        </w:tc>
        <w:tc>
          <w:tcPr>
            <w:tcW w:w="268"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19281</w:t>
            </w:r>
          </w:p>
        </w:tc>
        <w:tc>
          <w:tcPr>
            <w:tcW w:w="504"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29792.95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80"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hint="eastAsia" w:ascii="仿宋_GB2312" w:hAnsi="仿宋_GB2312" w:cs="仿宋_GB2312"/>
                <w:color w:val="auto"/>
                <w:sz w:val="21"/>
                <w:szCs w:val="21"/>
              </w:rPr>
              <w:t>5</w:t>
            </w:r>
          </w:p>
        </w:tc>
        <w:tc>
          <w:tcPr>
            <w:tcW w:w="388"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hint="eastAsia" w:ascii="仿宋_GB2312" w:hAnsi="仿宋_GB2312" w:cs="仿宋_GB2312"/>
                <w:color w:val="auto"/>
                <w:sz w:val="21"/>
                <w:szCs w:val="21"/>
              </w:rPr>
              <w:t>源城</w:t>
            </w:r>
            <w:r>
              <w:rPr>
                <w:rFonts w:hint="eastAsia" w:ascii="仿宋_GB2312" w:hAnsi="仿宋_GB2312" w:cs="仿宋_GB2312"/>
                <w:color w:val="auto"/>
                <w:sz w:val="21"/>
                <w:szCs w:val="21"/>
                <w:lang w:eastAsia="zh-CN"/>
              </w:rPr>
              <w:t>区</w:t>
            </w:r>
          </w:p>
        </w:tc>
        <w:tc>
          <w:tcPr>
            <w:tcW w:w="263"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3</w:t>
            </w:r>
          </w:p>
        </w:tc>
        <w:tc>
          <w:tcPr>
            <w:tcW w:w="266"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2</w:t>
            </w:r>
          </w:p>
        </w:tc>
        <w:tc>
          <w:tcPr>
            <w:tcW w:w="263"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0</w:t>
            </w:r>
          </w:p>
        </w:tc>
        <w:tc>
          <w:tcPr>
            <w:tcW w:w="266"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cs="仿宋_GB2312"/>
                <w:color w:val="auto"/>
                <w:sz w:val="21"/>
                <w:szCs w:val="21"/>
                <w:lang w:val="en-US" w:eastAsia="zh-CN"/>
              </w:rPr>
              <w:t>0</w:t>
            </w:r>
          </w:p>
        </w:tc>
        <w:tc>
          <w:tcPr>
            <w:tcW w:w="207"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3</w:t>
            </w:r>
          </w:p>
        </w:tc>
        <w:tc>
          <w:tcPr>
            <w:tcW w:w="240"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hint="eastAsia" w:ascii="仿宋_GB2312" w:hAnsi="仿宋_GB2312" w:cs="仿宋_GB2312"/>
                <w:color w:val="auto"/>
                <w:sz w:val="21"/>
                <w:szCs w:val="21"/>
              </w:rPr>
              <w:t>0</w:t>
            </w:r>
          </w:p>
        </w:tc>
        <w:tc>
          <w:tcPr>
            <w:tcW w:w="292"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295</w:t>
            </w:r>
          </w:p>
        </w:tc>
        <w:tc>
          <w:tcPr>
            <w:tcW w:w="422"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2381</w:t>
            </w:r>
          </w:p>
        </w:tc>
        <w:tc>
          <w:tcPr>
            <w:tcW w:w="220"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3</w:t>
            </w:r>
          </w:p>
        </w:tc>
        <w:tc>
          <w:tcPr>
            <w:tcW w:w="235"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hint="eastAsia" w:ascii="仿宋_GB2312" w:hAnsi="仿宋_GB2312" w:cs="仿宋_GB2312"/>
                <w:color w:val="auto"/>
                <w:sz w:val="21"/>
                <w:szCs w:val="21"/>
              </w:rPr>
              <w:t>0</w:t>
            </w:r>
          </w:p>
        </w:tc>
        <w:tc>
          <w:tcPr>
            <w:tcW w:w="288"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hint="eastAsia" w:ascii="仿宋_GB2312" w:hAnsi="仿宋_GB2312" w:cs="仿宋_GB2312"/>
                <w:color w:val="auto"/>
                <w:sz w:val="21"/>
                <w:szCs w:val="21"/>
              </w:rPr>
              <w:t>295</w:t>
            </w:r>
          </w:p>
        </w:tc>
        <w:tc>
          <w:tcPr>
            <w:tcW w:w="499"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hint="eastAsia" w:ascii="仿宋_GB2312" w:hAnsi="仿宋_GB2312" w:cs="仿宋_GB2312"/>
                <w:color w:val="auto"/>
                <w:sz w:val="21"/>
                <w:szCs w:val="21"/>
              </w:rPr>
              <w:t>2381</w:t>
            </w:r>
          </w:p>
        </w:tc>
        <w:tc>
          <w:tcPr>
            <w:tcW w:w="191"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2</w:t>
            </w:r>
          </w:p>
        </w:tc>
        <w:tc>
          <w:tcPr>
            <w:tcW w:w="268"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222</w:t>
            </w:r>
          </w:p>
        </w:tc>
        <w:tc>
          <w:tcPr>
            <w:tcW w:w="504"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1585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80"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hint="eastAsia" w:ascii="仿宋_GB2312" w:hAnsi="仿宋_GB2312" w:cs="仿宋_GB2312"/>
                <w:color w:val="auto"/>
                <w:sz w:val="21"/>
                <w:szCs w:val="21"/>
              </w:rPr>
              <w:t>6</w:t>
            </w:r>
          </w:p>
        </w:tc>
        <w:tc>
          <w:tcPr>
            <w:tcW w:w="388"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hint="eastAsia" w:ascii="仿宋_GB2312" w:hAnsi="仿宋_GB2312" w:cs="仿宋_GB2312"/>
                <w:color w:val="auto"/>
                <w:sz w:val="21"/>
                <w:szCs w:val="21"/>
              </w:rPr>
              <w:t>东源</w:t>
            </w:r>
            <w:r>
              <w:rPr>
                <w:rFonts w:hint="eastAsia" w:ascii="仿宋_GB2312" w:hAnsi="仿宋_GB2312" w:cs="仿宋_GB2312"/>
                <w:color w:val="auto"/>
                <w:sz w:val="21"/>
                <w:szCs w:val="21"/>
                <w:lang w:eastAsia="zh-CN"/>
              </w:rPr>
              <w:t>县</w:t>
            </w:r>
          </w:p>
        </w:tc>
        <w:tc>
          <w:tcPr>
            <w:tcW w:w="263"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25</w:t>
            </w:r>
          </w:p>
        </w:tc>
        <w:tc>
          <w:tcPr>
            <w:tcW w:w="266"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18</w:t>
            </w:r>
          </w:p>
        </w:tc>
        <w:tc>
          <w:tcPr>
            <w:tcW w:w="263"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cs="仿宋_GB2312"/>
                <w:color w:val="auto"/>
                <w:sz w:val="21"/>
                <w:szCs w:val="21"/>
                <w:lang w:val="en-US" w:eastAsia="zh-CN"/>
              </w:rPr>
              <w:t>0</w:t>
            </w:r>
          </w:p>
        </w:tc>
        <w:tc>
          <w:tcPr>
            <w:tcW w:w="266"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cs="仿宋_GB2312"/>
                <w:color w:val="auto"/>
                <w:sz w:val="21"/>
                <w:szCs w:val="21"/>
                <w:lang w:val="en-US" w:eastAsia="zh-CN"/>
              </w:rPr>
              <w:t>0</w:t>
            </w:r>
          </w:p>
        </w:tc>
        <w:tc>
          <w:tcPr>
            <w:tcW w:w="207"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25</w:t>
            </w:r>
          </w:p>
        </w:tc>
        <w:tc>
          <w:tcPr>
            <w:tcW w:w="240"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hint="eastAsia" w:ascii="仿宋_GB2312" w:hAnsi="仿宋_GB2312" w:cs="仿宋_GB2312"/>
                <w:color w:val="auto"/>
                <w:sz w:val="21"/>
                <w:szCs w:val="21"/>
              </w:rPr>
              <w:t>0</w:t>
            </w:r>
          </w:p>
        </w:tc>
        <w:tc>
          <w:tcPr>
            <w:tcW w:w="292"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4716</w:t>
            </w:r>
          </w:p>
        </w:tc>
        <w:tc>
          <w:tcPr>
            <w:tcW w:w="422"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35474.43</w:t>
            </w:r>
          </w:p>
        </w:tc>
        <w:tc>
          <w:tcPr>
            <w:tcW w:w="220"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25</w:t>
            </w:r>
          </w:p>
        </w:tc>
        <w:tc>
          <w:tcPr>
            <w:tcW w:w="235"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cs="仿宋_GB2312"/>
                <w:color w:val="auto"/>
                <w:sz w:val="21"/>
                <w:szCs w:val="21"/>
              </w:rPr>
            </w:pPr>
            <w:r>
              <w:rPr>
                <w:rFonts w:hint="eastAsia" w:ascii="仿宋_GB2312" w:hAnsi="仿宋_GB2312" w:cs="仿宋_GB2312"/>
                <w:color w:val="auto"/>
                <w:sz w:val="21"/>
                <w:szCs w:val="21"/>
              </w:rPr>
              <w:t>0</w:t>
            </w:r>
          </w:p>
        </w:tc>
        <w:tc>
          <w:tcPr>
            <w:tcW w:w="288"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hint="eastAsia" w:ascii="仿宋_GB2312" w:hAnsi="仿宋_GB2312" w:cs="仿宋_GB2312"/>
                <w:color w:val="auto"/>
                <w:sz w:val="21"/>
                <w:szCs w:val="21"/>
              </w:rPr>
              <w:t>4716</w:t>
            </w:r>
          </w:p>
        </w:tc>
        <w:tc>
          <w:tcPr>
            <w:tcW w:w="499"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hint="eastAsia" w:ascii="仿宋_GB2312" w:hAnsi="仿宋_GB2312" w:cs="仿宋_GB2312"/>
                <w:color w:val="auto"/>
                <w:sz w:val="21"/>
                <w:szCs w:val="21"/>
              </w:rPr>
              <w:t>35494.43</w:t>
            </w:r>
          </w:p>
        </w:tc>
        <w:tc>
          <w:tcPr>
            <w:tcW w:w="191"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18</w:t>
            </w:r>
          </w:p>
        </w:tc>
        <w:tc>
          <w:tcPr>
            <w:tcW w:w="268"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4638</w:t>
            </w:r>
          </w:p>
        </w:tc>
        <w:tc>
          <w:tcPr>
            <w:tcW w:w="504"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cs="仿宋_GB2312"/>
                <w:color w:val="auto"/>
                <w:sz w:val="21"/>
                <w:szCs w:val="21"/>
              </w:rPr>
            </w:pPr>
            <w:r>
              <w:rPr>
                <w:rFonts w:ascii="仿宋_GB2312" w:hAnsi="仿宋_GB2312" w:cs="仿宋_GB2312"/>
                <w:color w:val="auto"/>
                <w:sz w:val="21"/>
                <w:szCs w:val="21"/>
              </w:rPr>
              <w:t>34909</w:t>
            </w:r>
            <w:r>
              <w:rPr>
                <w:rFonts w:hint="eastAsia" w:ascii="仿宋_GB2312" w:hAnsi="仿宋_GB2312" w:cs="仿宋_GB2312"/>
                <w:color w:val="auto"/>
                <w:sz w:val="21"/>
                <w:szCs w:val="21"/>
              </w:rPr>
              <w:t>.43</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bCs/>
          <w:szCs w:val="32"/>
        </w:rPr>
      </w:pPr>
      <w:r>
        <w:rPr>
          <w:rFonts w:hint="eastAsia" w:ascii="黑体" w:hAnsi="黑体" w:eastAsia="黑体"/>
          <w:bCs/>
          <w:szCs w:val="32"/>
        </w:rPr>
        <w:br w:type="page"/>
      </w:r>
      <w:r>
        <w:rPr>
          <w:rFonts w:hint="eastAsia" w:ascii="黑体" w:hAnsi="黑体" w:eastAsia="黑体"/>
          <w:bCs/>
          <w:szCs w:val="32"/>
        </w:rPr>
        <w:t>附件2</w:t>
      </w:r>
    </w:p>
    <w:p>
      <w:pPr>
        <w:keepNext w:val="0"/>
        <w:keepLines w:val="0"/>
        <w:pageBreakBefore w:val="0"/>
        <w:widowControl w:val="0"/>
        <w:kinsoku/>
        <w:wordWrap/>
        <w:overflowPunct/>
        <w:topLinePunct w:val="0"/>
        <w:autoSpaceDE/>
        <w:autoSpaceDN/>
        <w:bidi w:val="0"/>
        <w:adjustRightInd/>
        <w:snapToGrid/>
        <w:spacing w:line="560" w:lineRule="exact"/>
        <w:ind w:firstLine="872" w:firstLineChars="200"/>
        <w:jc w:val="center"/>
        <w:textAlignment w:val="auto"/>
        <w:rPr>
          <w:rFonts w:hint="eastAsia" w:ascii="方正黑体_GBK" w:hAnsi="方正黑体_GBK" w:eastAsia="方正黑体_GBK" w:cs="方正黑体_GBK"/>
          <w:bCs/>
          <w:sz w:val="32"/>
          <w:szCs w:val="32"/>
        </w:rPr>
      </w:pPr>
      <w:r>
        <w:rPr>
          <w:rFonts w:hint="eastAsia" w:ascii="方正小标宋简体" w:hAnsi="方正小标宋简体" w:eastAsia="方正小标宋简体" w:cs="方正小标宋简体"/>
          <w:bCs/>
          <w:sz w:val="44"/>
          <w:szCs w:val="44"/>
        </w:rPr>
        <w:t>河源市2024年地质灾害防范重点区段</w:t>
      </w:r>
    </w:p>
    <w:tbl>
      <w:tblPr>
        <w:tblStyle w:val="7"/>
        <w:tblW w:w="14907" w:type="dxa"/>
        <w:tblInd w:w="-454" w:type="dxa"/>
        <w:tblLayout w:type="fixed"/>
        <w:tblCellMar>
          <w:top w:w="0" w:type="dxa"/>
          <w:left w:w="108" w:type="dxa"/>
          <w:bottom w:w="0" w:type="dxa"/>
          <w:right w:w="108" w:type="dxa"/>
        </w:tblCellMar>
      </w:tblPr>
      <w:tblGrid>
        <w:gridCol w:w="532"/>
        <w:gridCol w:w="2105"/>
        <w:gridCol w:w="3638"/>
        <w:gridCol w:w="2087"/>
        <w:gridCol w:w="2041"/>
        <w:gridCol w:w="2172"/>
        <w:gridCol w:w="2332"/>
      </w:tblGrid>
      <w:tr>
        <w:tblPrEx>
          <w:tblCellMar>
            <w:top w:w="0" w:type="dxa"/>
            <w:left w:w="108" w:type="dxa"/>
            <w:bottom w:w="0" w:type="dxa"/>
            <w:right w:w="108" w:type="dxa"/>
          </w:tblCellMar>
        </w:tblPrEx>
        <w:tc>
          <w:tcPr>
            <w:tcW w:w="53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黑体" w:hAnsi="黑体" w:eastAsia="黑体" w:cs="黑体"/>
                <w:b w:val="0"/>
                <w:bCs/>
                <w:sz w:val="24"/>
              </w:rPr>
            </w:pPr>
            <w:r>
              <w:rPr>
                <w:rFonts w:hint="eastAsia" w:ascii="黑体" w:hAnsi="黑体" w:eastAsia="黑体" w:cs="黑体"/>
                <w:b w:val="0"/>
                <w:bCs/>
                <w:sz w:val="24"/>
              </w:rPr>
              <w:t>序号</w:t>
            </w:r>
          </w:p>
        </w:tc>
        <w:tc>
          <w:tcPr>
            <w:tcW w:w="210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黑体" w:hAnsi="黑体" w:eastAsia="黑体" w:cs="黑体"/>
                <w:b w:val="0"/>
                <w:bCs/>
                <w:sz w:val="24"/>
              </w:rPr>
            </w:pPr>
            <w:r>
              <w:rPr>
                <w:rFonts w:hint="eastAsia" w:ascii="黑体" w:hAnsi="黑体" w:eastAsia="黑体" w:cs="黑体"/>
                <w:b w:val="0"/>
                <w:bCs/>
                <w:sz w:val="24"/>
              </w:rPr>
              <w:t>类型</w:t>
            </w:r>
          </w:p>
        </w:tc>
        <w:tc>
          <w:tcPr>
            <w:tcW w:w="36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黑体" w:hAnsi="黑体" w:eastAsia="黑体" w:cs="黑体"/>
                <w:b w:val="0"/>
                <w:bCs/>
                <w:sz w:val="24"/>
              </w:rPr>
            </w:pPr>
            <w:r>
              <w:rPr>
                <w:rFonts w:hint="eastAsia" w:ascii="黑体" w:hAnsi="黑体" w:eastAsia="黑体" w:cs="黑体"/>
                <w:b w:val="0"/>
                <w:bCs/>
                <w:sz w:val="24"/>
              </w:rPr>
              <w:t>重点区段</w:t>
            </w:r>
          </w:p>
        </w:tc>
        <w:tc>
          <w:tcPr>
            <w:tcW w:w="208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黑体" w:hAnsi="黑体" w:eastAsia="黑体" w:cs="黑体"/>
                <w:b w:val="0"/>
                <w:bCs/>
                <w:sz w:val="24"/>
              </w:rPr>
            </w:pPr>
            <w:r>
              <w:rPr>
                <w:rFonts w:hint="eastAsia" w:ascii="黑体" w:hAnsi="黑体" w:eastAsia="黑体" w:cs="黑体"/>
                <w:b w:val="0"/>
                <w:bCs/>
                <w:sz w:val="24"/>
              </w:rPr>
              <w:t>主要灾害</w:t>
            </w:r>
          </w:p>
          <w:p>
            <w:pPr>
              <w:spacing w:line="360" w:lineRule="exact"/>
              <w:jc w:val="center"/>
              <w:rPr>
                <w:rFonts w:hint="eastAsia" w:ascii="黑体" w:hAnsi="黑体" w:eastAsia="黑体" w:cs="黑体"/>
                <w:b w:val="0"/>
                <w:bCs/>
                <w:sz w:val="24"/>
              </w:rPr>
            </w:pPr>
            <w:r>
              <w:rPr>
                <w:rFonts w:hint="eastAsia" w:ascii="黑体" w:hAnsi="黑体" w:eastAsia="黑体" w:cs="黑体"/>
                <w:b w:val="0"/>
                <w:bCs/>
                <w:sz w:val="24"/>
              </w:rPr>
              <w:t>类型</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黑体" w:hAnsi="黑体" w:eastAsia="黑体" w:cs="黑体"/>
                <w:b w:val="0"/>
                <w:bCs/>
                <w:sz w:val="24"/>
              </w:rPr>
            </w:pPr>
            <w:r>
              <w:rPr>
                <w:rFonts w:hint="eastAsia" w:ascii="黑体" w:hAnsi="黑体" w:eastAsia="黑体" w:cs="黑体"/>
                <w:b w:val="0"/>
                <w:bCs/>
                <w:sz w:val="24"/>
              </w:rPr>
              <w:t>防范措施</w:t>
            </w:r>
          </w:p>
        </w:tc>
        <w:tc>
          <w:tcPr>
            <w:tcW w:w="217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黑体" w:hAnsi="黑体" w:eastAsia="黑体" w:cs="黑体"/>
                <w:b w:val="0"/>
                <w:bCs/>
                <w:sz w:val="24"/>
              </w:rPr>
            </w:pPr>
            <w:r>
              <w:rPr>
                <w:rFonts w:hint="eastAsia" w:ascii="黑体" w:hAnsi="黑体" w:eastAsia="黑体" w:cs="黑体"/>
                <w:b w:val="0"/>
                <w:bCs/>
                <w:sz w:val="24"/>
              </w:rPr>
              <w:t>涉及的行业或</w:t>
            </w:r>
          </w:p>
          <w:p>
            <w:pPr>
              <w:spacing w:line="360" w:lineRule="exact"/>
              <w:jc w:val="center"/>
              <w:rPr>
                <w:rFonts w:hint="eastAsia" w:ascii="黑体" w:hAnsi="黑体" w:eastAsia="黑体" w:cs="黑体"/>
                <w:b w:val="0"/>
                <w:bCs/>
                <w:sz w:val="24"/>
              </w:rPr>
            </w:pPr>
            <w:r>
              <w:rPr>
                <w:rFonts w:hint="eastAsia" w:ascii="黑体" w:hAnsi="黑体" w:eastAsia="黑体" w:cs="黑体"/>
                <w:b w:val="0"/>
                <w:bCs/>
                <w:sz w:val="24"/>
              </w:rPr>
              <w:t>主管部门</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黑体" w:hAnsi="黑体" w:eastAsia="黑体" w:cs="黑体"/>
                <w:b w:val="0"/>
                <w:bCs/>
                <w:sz w:val="24"/>
              </w:rPr>
            </w:pPr>
            <w:r>
              <w:rPr>
                <w:rFonts w:hint="eastAsia" w:ascii="黑体" w:hAnsi="黑体" w:eastAsia="黑体" w:cs="黑体"/>
                <w:b w:val="0"/>
                <w:bCs/>
                <w:sz w:val="24"/>
              </w:rPr>
              <w:t>监测预防责任人</w:t>
            </w:r>
          </w:p>
        </w:tc>
      </w:tr>
      <w:tr>
        <w:tblPrEx>
          <w:tblCellMar>
            <w:top w:w="0" w:type="dxa"/>
            <w:left w:w="108" w:type="dxa"/>
            <w:bottom w:w="0" w:type="dxa"/>
            <w:right w:w="108" w:type="dxa"/>
          </w:tblCellMar>
        </w:tblPrEx>
        <w:tc>
          <w:tcPr>
            <w:tcW w:w="5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21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sz w:val="24"/>
              </w:rPr>
            </w:pPr>
            <w:r>
              <w:rPr>
                <w:rFonts w:hint="eastAsia"/>
                <w:sz w:val="24"/>
              </w:rPr>
              <w:t>村、镇居民点</w:t>
            </w:r>
          </w:p>
        </w:tc>
        <w:tc>
          <w:tcPr>
            <w:tcW w:w="363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rPr>
            </w:pPr>
            <w:r>
              <w:rPr>
                <w:rFonts w:hint="eastAsia"/>
                <w:sz w:val="24"/>
              </w:rPr>
              <w:t>紫金县：苏区镇、龙窝镇、紫城镇、水墩镇、义容镇；连平县：上坪镇；和平县：阳明镇；龙川县：老隆镇、廻龙镇</w:t>
            </w:r>
            <w:bookmarkStart w:id="0" w:name="_GoBack"/>
            <w:bookmarkEnd w:id="0"/>
            <w:r>
              <w:rPr>
                <w:rFonts w:hint="eastAsia"/>
                <w:sz w:val="24"/>
              </w:rPr>
              <w:t>；东源县：锡场镇、仙塘镇</w:t>
            </w:r>
          </w:p>
        </w:tc>
        <w:tc>
          <w:tcPr>
            <w:tcW w:w="20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rPr>
            </w:pPr>
            <w:r>
              <w:rPr>
                <w:rFonts w:hint="eastAsia"/>
                <w:sz w:val="24"/>
              </w:rPr>
              <w:t>崩塌、滑坡、地面塌陷</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rPr>
            </w:pPr>
            <w:r>
              <w:rPr>
                <w:rFonts w:hint="eastAsia"/>
                <w:sz w:val="24"/>
              </w:rPr>
              <w:t>监测、巡查、排查</w:t>
            </w:r>
          </w:p>
        </w:tc>
        <w:tc>
          <w:tcPr>
            <w:tcW w:w="21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sz w:val="24"/>
              </w:rPr>
            </w:pPr>
            <w:r>
              <w:rPr>
                <w:rFonts w:hint="eastAsia"/>
                <w:sz w:val="24"/>
              </w:rPr>
              <w:t>各级人民政府</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sz w:val="24"/>
              </w:rPr>
            </w:pPr>
            <w:r>
              <w:rPr>
                <w:rFonts w:hint="eastAsia"/>
                <w:sz w:val="24"/>
              </w:rPr>
              <w:t>各级人民政府主管部门负责人</w:t>
            </w:r>
          </w:p>
        </w:tc>
      </w:tr>
      <w:tr>
        <w:tblPrEx>
          <w:tblCellMar>
            <w:top w:w="0" w:type="dxa"/>
            <w:left w:w="108" w:type="dxa"/>
            <w:bottom w:w="0" w:type="dxa"/>
            <w:right w:w="108" w:type="dxa"/>
          </w:tblCellMar>
        </w:tblPrEx>
        <w:tc>
          <w:tcPr>
            <w:tcW w:w="5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21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sz w:val="24"/>
              </w:rPr>
            </w:pPr>
            <w:r>
              <w:rPr>
                <w:rFonts w:hint="eastAsia"/>
                <w:sz w:val="24"/>
              </w:rPr>
              <w:t>交通干线</w:t>
            </w:r>
          </w:p>
        </w:tc>
        <w:tc>
          <w:tcPr>
            <w:tcW w:w="363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rPr>
            </w:pPr>
            <w:r>
              <w:rPr>
                <w:rFonts w:hint="eastAsia"/>
                <w:sz w:val="24"/>
              </w:rPr>
              <w:t>在建或新建交通干线开挖、回填路段</w:t>
            </w:r>
          </w:p>
        </w:tc>
        <w:tc>
          <w:tcPr>
            <w:tcW w:w="20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rPr>
            </w:pPr>
            <w:r>
              <w:rPr>
                <w:rFonts w:hint="eastAsia"/>
                <w:sz w:val="24"/>
              </w:rPr>
              <w:t>崩塌、滑坡</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rPr>
            </w:pPr>
            <w:r>
              <w:rPr>
                <w:rFonts w:hint="eastAsia"/>
                <w:sz w:val="24"/>
              </w:rPr>
              <w:t>监测、巡查、排查</w:t>
            </w:r>
          </w:p>
        </w:tc>
        <w:tc>
          <w:tcPr>
            <w:tcW w:w="21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sz w:val="24"/>
              </w:rPr>
            </w:pPr>
            <w:r>
              <w:rPr>
                <w:rFonts w:hint="eastAsia"/>
                <w:sz w:val="24"/>
              </w:rPr>
              <w:t>交通、运输</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sz w:val="24"/>
              </w:rPr>
            </w:pPr>
            <w:r>
              <w:rPr>
                <w:rFonts w:hint="eastAsia"/>
                <w:sz w:val="24"/>
              </w:rPr>
              <w:t>交通、运输行政主管部门负责人</w:t>
            </w:r>
          </w:p>
        </w:tc>
      </w:tr>
      <w:tr>
        <w:tblPrEx>
          <w:tblCellMar>
            <w:top w:w="0" w:type="dxa"/>
            <w:left w:w="108" w:type="dxa"/>
            <w:bottom w:w="0" w:type="dxa"/>
            <w:right w:w="108" w:type="dxa"/>
          </w:tblCellMar>
        </w:tblPrEx>
        <w:tc>
          <w:tcPr>
            <w:tcW w:w="5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21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sz w:val="24"/>
              </w:rPr>
            </w:pPr>
            <w:r>
              <w:rPr>
                <w:rFonts w:hint="eastAsia"/>
                <w:sz w:val="24"/>
              </w:rPr>
              <w:t>水库、河流</w:t>
            </w:r>
          </w:p>
        </w:tc>
        <w:tc>
          <w:tcPr>
            <w:tcW w:w="363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rPr>
            </w:pPr>
            <w:r>
              <w:rPr>
                <w:rFonts w:hint="eastAsia"/>
                <w:sz w:val="24"/>
              </w:rPr>
              <w:t>新丰江、枫树坝库区及河流沿岸居民点</w:t>
            </w:r>
          </w:p>
        </w:tc>
        <w:tc>
          <w:tcPr>
            <w:tcW w:w="20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rPr>
            </w:pPr>
            <w:r>
              <w:rPr>
                <w:rFonts w:hint="eastAsia"/>
                <w:sz w:val="24"/>
              </w:rPr>
              <w:t>崩塌、滑坡、泥石流、地面塌陷</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rPr>
            </w:pPr>
            <w:r>
              <w:rPr>
                <w:rFonts w:hint="eastAsia"/>
                <w:sz w:val="24"/>
              </w:rPr>
              <w:t>监测、巡查、排查</w:t>
            </w:r>
          </w:p>
        </w:tc>
        <w:tc>
          <w:tcPr>
            <w:tcW w:w="21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sz w:val="24"/>
              </w:rPr>
            </w:pPr>
            <w:r>
              <w:rPr>
                <w:rFonts w:hint="eastAsia"/>
                <w:sz w:val="24"/>
              </w:rPr>
              <w:t>水务</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sz w:val="24"/>
              </w:rPr>
            </w:pPr>
            <w:r>
              <w:rPr>
                <w:rFonts w:hint="eastAsia"/>
                <w:sz w:val="24"/>
              </w:rPr>
              <w:t>水务行政主管部门负责人</w:t>
            </w:r>
          </w:p>
        </w:tc>
      </w:tr>
      <w:tr>
        <w:tblPrEx>
          <w:tblCellMar>
            <w:top w:w="0" w:type="dxa"/>
            <w:left w:w="108" w:type="dxa"/>
            <w:bottom w:w="0" w:type="dxa"/>
            <w:right w:w="108" w:type="dxa"/>
          </w:tblCellMar>
        </w:tblPrEx>
        <w:trPr>
          <w:trHeight w:val="785"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21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sz w:val="24"/>
              </w:rPr>
            </w:pPr>
            <w:r>
              <w:rPr>
                <w:rFonts w:hint="eastAsia"/>
                <w:sz w:val="24"/>
              </w:rPr>
              <w:t>厂矿企业</w:t>
            </w:r>
          </w:p>
        </w:tc>
        <w:tc>
          <w:tcPr>
            <w:tcW w:w="363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rPr>
            </w:pPr>
            <w:r>
              <w:rPr>
                <w:rFonts w:hint="eastAsia"/>
                <w:sz w:val="24"/>
              </w:rPr>
              <w:t>各县区地下开采矿区；东源、和平、紫金瓷土矿露天开采矿区</w:t>
            </w:r>
          </w:p>
        </w:tc>
        <w:tc>
          <w:tcPr>
            <w:tcW w:w="20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rPr>
            </w:pPr>
            <w:r>
              <w:rPr>
                <w:rFonts w:hint="eastAsia"/>
                <w:sz w:val="24"/>
              </w:rPr>
              <w:t>崩塌、滑坡、泥石流、地面塌陷</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rPr>
            </w:pPr>
            <w:r>
              <w:rPr>
                <w:rFonts w:hint="eastAsia"/>
                <w:sz w:val="24"/>
              </w:rPr>
              <w:t>监测、巡查、排查</w:t>
            </w:r>
          </w:p>
        </w:tc>
        <w:tc>
          <w:tcPr>
            <w:tcW w:w="21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sz w:val="24"/>
              </w:rPr>
            </w:pPr>
            <w:r>
              <w:rPr>
                <w:rFonts w:hint="eastAsia"/>
                <w:sz w:val="24"/>
              </w:rPr>
              <w:t>应急、</w:t>
            </w:r>
            <w:r>
              <w:rPr>
                <w:sz w:val="24"/>
              </w:rPr>
              <w:t>自然</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sz w:val="24"/>
              </w:rPr>
            </w:pPr>
            <w:r>
              <w:rPr>
                <w:rFonts w:hint="eastAsia"/>
                <w:sz w:val="24"/>
              </w:rPr>
              <w:t>应急、</w:t>
            </w:r>
            <w:r>
              <w:rPr>
                <w:sz w:val="24"/>
              </w:rPr>
              <w:t>自然</w:t>
            </w:r>
            <w:r>
              <w:rPr>
                <w:rFonts w:hint="eastAsia"/>
                <w:sz w:val="24"/>
              </w:rPr>
              <w:t>行政主管部门负责人</w:t>
            </w:r>
          </w:p>
        </w:tc>
      </w:tr>
      <w:tr>
        <w:tblPrEx>
          <w:tblCellMar>
            <w:top w:w="0" w:type="dxa"/>
            <w:left w:w="108" w:type="dxa"/>
            <w:bottom w:w="0" w:type="dxa"/>
            <w:right w:w="108" w:type="dxa"/>
          </w:tblCellMar>
        </w:tblPrEx>
        <w:trPr>
          <w:trHeight w:val="744"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21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sz w:val="24"/>
              </w:rPr>
            </w:pPr>
            <w:r>
              <w:rPr>
                <w:rFonts w:hint="eastAsia"/>
                <w:sz w:val="24"/>
              </w:rPr>
              <w:t>农村中小学校</w:t>
            </w:r>
          </w:p>
        </w:tc>
        <w:tc>
          <w:tcPr>
            <w:tcW w:w="363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sz w:val="24"/>
              </w:rPr>
            </w:pPr>
            <w:r>
              <w:rPr>
                <w:rFonts w:hint="eastAsia"/>
                <w:sz w:val="24"/>
              </w:rPr>
              <w:t>紫金县、龙川县、和平县</w:t>
            </w:r>
            <w:r>
              <w:rPr>
                <w:sz w:val="24"/>
              </w:rPr>
              <w:t>、东源</w:t>
            </w:r>
            <w:r>
              <w:rPr>
                <w:rFonts w:hint="eastAsia"/>
                <w:sz w:val="24"/>
              </w:rPr>
              <w:t>县</w:t>
            </w:r>
            <w:r>
              <w:rPr>
                <w:sz w:val="24"/>
              </w:rPr>
              <w:t>、</w:t>
            </w:r>
            <w:r>
              <w:rPr>
                <w:rFonts w:hint="eastAsia"/>
                <w:sz w:val="24"/>
              </w:rPr>
              <w:t>连平县中小学等</w:t>
            </w:r>
          </w:p>
        </w:tc>
        <w:tc>
          <w:tcPr>
            <w:tcW w:w="20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rPr>
            </w:pPr>
            <w:r>
              <w:rPr>
                <w:rFonts w:hint="eastAsia"/>
                <w:sz w:val="24"/>
              </w:rPr>
              <w:t>崩塌、滑坡</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rPr>
            </w:pPr>
            <w:r>
              <w:rPr>
                <w:rFonts w:hint="eastAsia"/>
                <w:sz w:val="24"/>
              </w:rPr>
              <w:t>监测、巡查、排查</w:t>
            </w:r>
          </w:p>
        </w:tc>
        <w:tc>
          <w:tcPr>
            <w:tcW w:w="21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sz w:val="24"/>
              </w:rPr>
            </w:pPr>
            <w:r>
              <w:rPr>
                <w:rFonts w:hint="eastAsia"/>
                <w:sz w:val="24"/>
              </w:rPr>
              <w:t>教育</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sz w:val="24"/>
              </w:rPr>
            </w:pPr>
            <w:r>
              <w:rPr>
                <w:rFonts w:hint="eastAsia"/>
                <w:sz w:val="24"/>
              </w:rPr>
              <w:t>教育行政主管部门负责人</w:t>
            </w:r>
          </w:p>
        </w:tc>
      </w:tr>
      <w:tr>
        <w:tblPrEx>
          <w:tblCellMar>
            <w:top w:w="0" w:type="dxa"/>
            <w:left w:w="108" w:type="dxa"/>
            <w:bottom w:w="0" w:type="dxa"/>
            <w:right w:w="108" w:type="dxa"/>
          </w:tblCellMar>
        </w:tblPrEx>
        <w:tc>
          <w:tcPr>
            <w:tcW w:w="5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21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sz w:val="24"/>
              </w:rPr>
            </w:pPr>
            <w:r>
              <w:rPr>
                <w:rFonts w:hint="eastAsia"/>
                <w:sz w:val="24"/>
              </w:rPr>
              <w:t>旅游景点、风景区</w:t>
            </w:r>
          </w:p>
        </w:tc>
        <w:tc>
          <w:tcPr>
            <w:tcW w:w="363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rPr>
            </w:pPr>
            <w:r>
              <w:rPr>
                <w:rFonts w:hint="eastAsia"/>
                <w:sz w:val="24"/>
              </w:rPr>
              <w:t>各景区道路、建筑切坡、抽排地下水等区域</w:t>
            </w:r>
          </w:p>
        </w:tc>
        <w:tc>
          <w:tcPr>
            <w:tcW w:w="20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rPr>
            </w:pPr>
            <w:r>
              <w:rPr>
                <w:rFonts w:hint="eastAsia"/>
                <w:sz w:val="24"/>
              </w:rPr>
              <w:t>崩塌、滑坡、泥石流、地面塌陷</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rPr>
            </w:pPr>
            <w:r>
              <w:rPr>
                <w:rFonts w:hint="eastAsia"/>
                <w:sz w:val="24"/>
              </w:rPr>
              <w:t>监测、巡查、排查</w:t>
            </w:r>
          </w:p>
        </w:tc>
        <w:tc>
          <w:tcPr>
            <w:tcW w:w="21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sz w:val="24"/>
              </w:rPr>
            </w:pPr>
            <w:r>
              <w:rPr>
                <w:rFonts w:hint="eastAsia"/>
                <w:sz w:val="24"/>
              </w:rPr>
              <w:t>文化广电</w:t>
            </w:r>
            <w:r>
              <w:rPr>
                <w:sz w:val="24"/>
              </w:rPr>
              <w:t>旅游体育</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sz w:val="24"/>
              </w:rPr>
            </w:pPr>
            <w:r>
              <w:rPr>
                <w:rFonts w:hint="eastAsia"/>
                <w:sz w:val="24"/>
              </w:rPr>
              <w:t>旅游行政主管部门负责人</w:t>
            </w:r>
          </w:p>
        </w:tc>
      </w:tr>
      <w:tr>
        <w:tblPrEx>
          <w:tblCellMar>
            <w:top w:w="0" w:type="dxa"/>
            <w:left w:w="108" w:type="dxa"/>
            <w:bottom w:w="0" w:type="dxa"/>
            <w:right w:w="108" w:type="dxa"/>
          </w:tblCellMar>
        </w:tblPrEx>
        <w:trPr>
          <w:trHeight w:val="885"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7</w:t>
            </w:r>
          </w:p>
        </w:tc>
        <w:tc>
          <w:tcPr>
            <w:tcW w:w="21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sz w:val="24"/>
              </w:rPr>
            </w:pPr>
            <w:r>
              <w:rPr>
                <w:rFonts w:hint="eastAsia"/>
                <w:sz w:val="24"/>
              </w:rPr>
              <w:t>在册重要地质灾害隐患点</w:t>
            </w:r>
          </w:p>
        </w:tc>
        <w:tc>
          <w:tcPr>
            <w:tcW w:w="363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rPr>
            </w:pPr>
            <w:r>
              <w:rPr>
                <w:rFonts w:hint="eastAsia"/>
                <w:sz w:val="24"/>
              </w:rPr>
              <w:t>全市</w:t>
            </w:r>
            <w:r>
              <w:rPr>
                <w:rFonts w:hint="eastAsia" w:ascii="仿宋_GB2312" w:hAnsi="仿宋_GB2312" w:cs="仿宋_GB2312"/>
                <w:sz w:val="24"/>
              </w:rPr>
              <w:t>153处在册重要100人</w:t>
            </w:r>
            <w:r>
              <w:rPr>
                <w:sz w:val="24"/>
              </w:rPr>
              <w:t>以上</w:t>
            </w:r>
            <w:r>
              <w:rPr>
                <w:rFonts w:hint="eastAsia"/>
                <w:sz w:val="24"/>
              </w:rPr>
              <w:t>地质灾害隐患点</w:t>
            </w:r>
          </w:p>
        </w:tc>
        <w:tc>
          <w:tcPr>
            <w:tcW w:w="20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rPr>
            </w:pPr>
            <w:r>
              <w:rPr>
                <w:rFonts w:hint="eastAsia"/>
                <w:sz w:val="24"/>
              </w:rPr>
              <w:t>崩塌、滑坡、泥石流、地面塌陷</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z w:val="24"/>
              </w:rPr>
            </w:pPr>
            <w:r>
              <w:rPr>
                <w:rFonts w:hint="eastAsia"/>
                <w:sz w:val="24"/>
              </w:rPr>
              <w:t>监测、搬迁、治理</w:t>
            </w:r>
          </w:p>
        </w:tc>
        <w:tc>
          <w:tcPr>
            <w:tcW w:w="21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sz w:val="24"/>
              </w:rPr>
            </w:pPr>
            <w:r>
              <w:rPr>
                <w:rFonts w:hint="eastAsia"/>
                <w:sz w:val="24"/>
              </w:rPr>
              <w:t>各级人民政府、自然资源</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sz w:val="24"/>
              </w:rPr>
            </w:pPr>
            <w:r>
              <w:rPr>
                <w:rFonts w:hint="eastAsia"/>
                <w:sz w:val="24"/>
              </w:rPr>
              <w:t>各级人民政府、自然资源行政主管部门负责人</w:t>
            </w:r>
          </w:p>
        </w:tc>
      </w:tr>
    </w:tbl>
    <w:p>
      <w:pPr>
        <w:bidi w:val="0"/>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eastAsia="黑体"/>
        </w:rPr>
        <w:sectPr>
          <w:footerReference r:id="rId4" w:type="default"/>
          <w:footerReference r:id="rId5" w:type="even"/>
          <w:pgSz w:w="16838" w:h="11906" w:orient="landscape"/>
          <w:pgMar w:top="1531" w:right="1531" w:bottom="1531" w:left="1531" w:header="851" w:footer="992" w:gutter="0"/>
          <w:pgNumType w:fmt="decimal"/>
          <w:cols w:space="0" w:num="1"/>
          <w:rtlGutter w:val="0"/>
          <w:docGrid w:type="linesAndChars" w:linePitch="631" w:charSpace="-849"/>
        </w:sectPr>
      </w:pPr>
    </w:p>
    <w:p>
      <w:pPr>
        <w:spacing w:line="600" w:lineRule="exact"/>
        <w:rPr>
          <w:rFonts w:hint="eastAsia" w:eastAsia="黑体"/>
        </w:rPr>
      </w:pPr>
    </w:p>
    <w:p>
      <w:pPr>
        <w:spacing w:line="600" w:lineRule="exact"/>
        <w:rPr>
          <w:rFonts w:hint="eastAsia" w:eastAsia="黑体"/>
        </w:rPr>
      </w:pPr>
    </w:p>
    <w:p>
      <w:pPr>
        <w:spacing w:line="600" w:lineRule="exact"/>
        <w:rPr>
          <w:rFonts w:hint="eastAsia" w:eastAsia="黑体"/>
        </w:rPr>
      </w:pPr>
    </w:p>
    <w:p>
      <w:pPr>
        <w:spacing w:line="600" w:lineRule="exact"/>
        <w:rPr>
          <w:rFonts w:hint="eastAsia" w:eastAsia="黑体"/>
        </w:rPr>
      </w:pPr>
    </w:p>
    <w:p>
      <w:pPr>
        <w:spacing w:line="600" w:lineRule="exact"/>
        <w:rPr>
          <w:rFonts w:hint="eastAsia" w:eastAsia="黑体"/>
        </w:rPr>
      </w:pPr>
    </w:p>
    <w:p>
      <w:pPr>
        <w:spacing w:line="600" w:lineRule="exact"/>
        <w:rPr>
          <w:rFonts w:hint="eastAsia" w:eastAsia="黑体"/>
        </w:rPr>
      </w:pPr>
    </w:p>
    <w:p>
      <w:pPr>
        <w:spacing w:line="600" w:lineRule="exact"/>
        <w:rPr>
          <w:rFonts w:hint="eastAsia" w:eastAsia="黑体"/>
        </w:rPr>
      </w:pPr>
    </w:p>
    <w:p>
      <w:pPr>
        <w:spacing w:line="600" w:lineRule="exact"/>
        <w:rPr>
          <w:rFonts w:hint="eastAsia" w:eastAsia="黑体"/>
        </w:rPr>
      </w:pPr>
    </w:p>
    <w:p>
      <w:pPr>
        <w:spacing w:line="600" w:lineRule="exact"/>
        <w:rPr>
          <w:rFonts w:hint="eastAsia" w:eastAsia="黑体"/>
        </w:rPr>
      </w:pPr>
    </w:p>
    <w:p>
      <w:pPr>
        <w:spacing w:line="600" w:lineRule="exact"/>
        <w:rPr>
          <w:rFonts w:hint="eastAsia" w:eastAsia="黑体"/>
        </w:rPr>
      </w:pPr>
    </w:p>
    <w:p>
      <w:pPr>
        <w:spacing w:line="600" w:lineRule="exact"/>
        <w:rPr>
          <w:rFonts w:hint="eastAsia" w:eastAsia="黑体"/>
        </w:rPr>
      </w:pPr>
    </w:p>
    <w:p>
      <w:pPr>
        <w:spacing w:line="600" w:lineRule="exact"/>
        <w:rPr>
          <w:rFonts w:hint="eastAsia" w:eastAsia="黑体"/>
        </w:rPr>
      </w:pPr>
    </w:p>
    <w:p>
      <w:pPr>
        <w:spacing w:line="600" w:lineRule="exact"/>
        <w:rPr>
          <w:rFonts w:hint="eastAsia" w:eastAsia="黑体"/>
        </w:rPr>
      </w:pPr>
    </w:p>
    <w:p>
      <w:pPr>
        <w:rPr>
          <w:rFonts w:hint="eastAsia"/>
        </w:rPr>
      </w:pPr>
    </w:p>
    <w:p>
      <w:pPr>
        <w:spacing w:line="600" w:lineRule="exact"/>
        <w:rPr>
          <w:rFonts w:hint="eastAsia" w:eastAsia="黑体"/>
        </w:rPr>
      </w:pPr>
    </w:p>
    <w:p>
      <w:pPr>
        <w:spacing w:line="600" w:lineRule="exact"/>
        <w:rPr>
          <w:rFonts w:hint="eastAsia" w:eastAsia="黑体"/>
        </w:rPr>
      </w:pPr>
    </w:p>
    <w:p>
      <w:pPr>
        <w:spacing w:line="600" w:lineRule="exact"/>
        <w:rPr>
          <w:rFonts w:hint="eastAsia" w:eastAsia="黑体"/>
        </w:rPr>
      </w:pPr>
    </w:p>
    <w:p>
      <w:pPr>
        <w:spacing w:line="600" w:lineRule="exact"/>
        <w:rPr>
          <w:rFonts w:hint="eastAsia" w:eastAsia="黑体"/>
        </w:rPr>
      </w:pPr>
    </w:p>
    <w:p>
      <w:pPr>
        <w:pStyle w:val="2"/>
        <w:numPr>
          <w:ilvl w:val="2"/>
          <w:numId w:val="0"/>
        </w:numPr>
        <w:ind w:leftChars="0"/>
        <w:rPr>
          <w:rFonts w:hint="eastAsia"/>
        </w:rPr>
      </w:pPr>
    </w:p>
    <w:p>
      <w:pPr>
        <w:rPr>
          <w:rFonts w:hint="eastAsia"/>
        </w:rPr>
      </w:pPr>
    </w:p>
    <w:p>
      <w:pPr>
        <w:spacing w:line="600" w:lineRule="exact"/>
        <w:rPr>
          <w:rFonts w:hint="eastAsia"/>
        </w:rPr>
      </w:pPr>
      <w:r>
        <w:rPr>
          <w:rFonts w:hint="eastAsia" w:eastAsia="黑体"/>
        </w:rPr>
        <w:t>公开方式：</w:t>
      </w:r>
      <w:r>
        <w:rPr>
          <w:rFonts w:hint="eastAsia"/>
        </w:rPr>
        <w:t>主动公开</w:t>
      </w:r>
    </w:p>
    <w:p>
      <w:pPr>
        <w:spacing w:line="40" w:lineRule="exact"/>
        <w:ind w:firstLine="316" w:firstLineChars="100"/>
        <w:rPr>
          <w:rFonts w:hint="eastAsia"/>
        </w:rPr>
      </w:pPr>
    </w:p>
    <w:p>
      <w:pPr>
        <w:spacing w:line="40" w:lineRule="exact"/>
        <w:ind w:firstLine="316" w:firstLineChars="100"/>
        <w:rPr>
          <w:rFonts w:hint="eastAsia"/>
        </w:rPr>
      </w:pPr>
    </w:p>
    <w:sectPr>
      <w:footerReference r:id="rId6" w:type="default"/>
      <w:pgSz w:w="11906" w:h="16838"/>
      <w:pgMar w:top="1531" w:right="1531" w:bottom="1531" w:left="1531" w:header="851" w:footer="992" w:gutter="0"/>
      <w:pgNumType w:fmt="decimal"/>
      <w:cols w:space="0" w:num="1"/>
      <w:rtlGutter w:val="0"/>
      <w:docGrid w:type="linesAndChars" w:linePitch="631"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7A"/>
    <w:family w:val="auto"/>
    <w:pitch w:val="default"/>
    <w:sig w:usb0="800002BF" w:usb1="38CF7CFA" w:usb2="00000016" w:usb3="00000000" w:csb0="00040001" w:csb1="00000000"/>
  </w:font>
  <w:font w:name="创艺简标宋">
    <w:altName w:val="黑体"/>
    <w:panose1 w:val="00000000000000000000"/>
    <w:charset w:val="00"/>
    <w:family w:val="auto"/>
    <w:pitch w:val="default"/>
    <w:sig w:usb0="00000000" w:usb1="00000000" w:usb2="00000000" w:usb3="00000000" w:csb0="00000000" w:csb1="00000000"/>
  </w:font>
  <w:font w:name="方正小标宋简体">
    <w:altName w:val="宋体-方正超大字符集"/>
    <w:panose1 w:val="02000000000000000000"/>
    <w:charset w:val="86"/>
    <w:family w:val="auto"/>
    <w:pitch w:val="default"/>
    <w:sig w:usb0="00000000" w:usb1="00000000" w:usb2="00000012"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80F3C52" w:usb2="00000016" w:usb3="00000000" w:csb0="0004001F" w:csb1="00000000"/>
  </w:font>
  <w:font w:name="宋体-方正超大字符集">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9"/>
                              <w:rFonts w:hint="eastAsia"/>
                              <w:sz w:val="28"/>
                            </w:rPr>
                          </w:pPr>
                          <w:r>
                            <w:rPr>
                              <w:rStyle w:val="9"/>
                              <w:rFonts w:hint="eastAsia"/>
                              <w:sz w:val="28"/>
                            </w:rPr>
                            <w:t xml:space="preserve">— </w:t>
                          </w:r>
                          <w:r>
                            <w:rPr>
                              <w:sz w:val="28"/>
                            </w:rPr>
                            <w:fldChar w:fldCharType="begin"/>
                          </w:r>
                          <w:r>
                            <w:rPr>
                              <w:rStyle w:val="9"/>
                              <w:sz w:val="28"/>
                            </w:rPr>
                            <w:instrText xml:space="preserve"> PAGE </w:instrText>
                          </w:r>
                          <w:r>
                            <w:rPr>
                              <w:sz w:val="28"/>
                            </w:rPr>
                            <w:fldChar w:fldCharType="separate"/>
                          </w:r>
                          <w:r>
                            <w:rPr>
                              <w:rStyle w:val="9"/>
                              <w:sz w:val="28"/>
                            </w:rPr>
                            <w:t>19</w:t>
                          </w:r>
                          <w:r>
                            <w:rPr>
                              <w:sz w:val="28"/>
                            </w:rPr>
                            <w:fldChar w:fldCharType="end"/>
                          </w:r>
                          <w:r>
                            <w:rPr>
                              <w:rStyle w:val="9"/>
                              <w:rFonts w:hint="eastAsia"/>
                              <w:sz w:val="28"/>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rDu8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KsO7yQEAAJkDAAAOAAAAAAAAAAEAIAAAAB4BAABkcnMvZTJvRG9j&#10;LnhtbFBLBQYAAAAABgAGAFkBAABZBQAAAAA=&#10;">
              <v:fill on="f" focussize="0,0"/>
              <v:stroke on="f"/>
              <v:imagedata o:title=""/>
              <o:lock v:ext="edit" aspectratio="f"/>
              <v:textbox inset="0mm,0mm,0mm,0mm" style="mso-fit-shape-to-text:t;">
                <w:txbxContent>
                  <w:p>
                    <w:pPr>
                      <w:pStyle w:val="5"/>
                      <w:rPr>
                        <w:rStyle w:val="9"/>
                        <w:rFonts w:hint="eastAsia"/>
                        <w:sz w:val="28"/>
                      </w:rPr>
                    </w:pPr>
                    <w:r>
                      <w:rPr>
                        <w:rStyle w:val="9"/>
                        <w:rFonts w:hint="eastAsia"/>
                        <w:sz w:val="28"/>
                      </w:rPr>
                      <w:t xml:space="preserve">— </w:t>
                    </w:r>
                    <w:r>
                      <w:rPr>
                        <w:sz w:val="28"/>
                      </w:rPr>
                      <w:fldChar w:fldCharType="begin"/>
                    </w:r>
                    <w:r>
                      <w:rPr>
                        <w:rStyle w:val="9"/>
                        <w:sz w:val="28"/>
                      </w:rPr>
                      <w:instrText xml:space="preserve"> PAGE </w:instrText>
                    </w:r>
                    <w:r>
                      <w:rPr>
                        <w:sz w:val="28"/>
                      </w:rPr>
                      <w:fldChar w:fldCharType="separate"/>
                    </w:r>
                    <w:r>
                      <w:rPr>
                        <w:rStyle w:val="9"/>
                        <w:sz w:val="28"/>
                      </w:rPr>
                      <w:t>19</w:t>
                    </w:r>
                    <w:r>
                      <w:rPr>
                        <w:sz w:val="28"/>
                      </w:rPr>
                      <w:fldChar w:fldCharType="end"/>
                    </w:r>
                    <w:r>
                      <w:rPr>
                        <w:rStyle w:val="9"/>
                        <w:rFonts w:hint="eastAsia"/>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Style w:val="9"/>
                              <w:rFonts w:hint="eastAsia"/>
                              <w:sz w:val="28"/>
                            </w:rPr>
                          </w:pPr>
                          <w:r>
                            <w:rPr>
                              <w:rStyle w:val="9"/>
                              <w:rFonts w:hint="eastAsia"/>
                              <w:sz w:val="28"/>
                            </w:rPr>
                            <w:t xml:space="preserve">— </w:t>
                          </w:r>
                          <w:r>
                            <w:rPr>
                              <w:sz w:val="28"/>
                            </w:rPr>
                            <w:fldChar w:fldCharType="begin"/>
                          </w:r>
                          <w:r>
                            <w:rPr>
                              <w:rStyle w:val="9"/>
                              <w:sz w:val="28"/>
                            </w:rPr>
                            <w:instrText xml:space="preserve"> PAGE </w:instrText>
                          </w:r>
                          <w:r>
                            <w:rPr>
                              <w:sz w:val="28"/>
                            </w:rPr>
                            <w:fldChar w:fldCharType="separate"/>
                          </w:r>
                          <w:r>
                            <w:rPr>
                              <w:rStyle w:val="9"/>
                              <w:rFonts w:hint="eastAsia"/>
                              <w:sz w:val="28"/>
                            </w:rPr>
                            <w:t>２</w:t>
                          </w:r>
                          <w:r>
                            <w:rPr>
                              <w:sz w:val="28"/>
                            </w:rPr>
                            <w:fldChar w:fldCharType="end"/>
                          </w:r>
                          <w:r>
                            <w:rPr>
                              <w:rStyle w:val="9"/>
                              <w:rFonts w:hint="eastAsia"/>
                              <w:sz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btH61+gBAADH&#10;AwAADgAAAAAAAAABACAAAAAeAQAAZHJzL2Uyb0RvYy54bWxQSwUGAAAAAAYABgBZAQAAeAUAAAAA&#10;">
              <v:fill on="f" focussize="0,0"/>
              <v:stroke on="f"/>
              <v:imagedata o:title=""/>
              <o:lock v:ext="edit" aspectratio="f"/>
              <v:textbox inset="0mm,0mm,0mm,0mm" style="mso-fit-shape-to-text:t;">
                <w:txbxContent>
                  <w:p>
                    <w:pPr>
                      <w:pStyle w:val="5"/>
                      <w:rPr>
                        <w:rStyle w:val="9"/>
                        <w:rFonts w:hint="eastAsia"/>
                        <w:sz w:val="28"/>
                      </w:rPr>
                    </w:pPr>
                    <w:r>
                      <w:rPr>
                        <w:rStyle w:val="9"/>
                        <w:rFonts w:hint="eastAsia"/>
                        <w:sz w:val="28"/>
                      </w:rPr>
                      <w:t xml:space="preserve">— </w:t>
                    </w:r>
                    <w:r>
                      <w:rPr>
                        <w:sz w:val="28"/>
                      </w:rPr>
                      <w:fldChar w:fldCharType="begin"/>
                    </w:r>
                    <w:r>
                      <w:rPr>
                        <w:rStyle w:val="9"/>
                        <w:sz w:val="28"/>
                      </w:rPr>
                      <w:instrText xml:space="preserve"> PAGE </w:instrText>
                    </w:r>
                    <w:r>
                      <w:rPr>
                        <w:sz w:val="28"/>
                      </w:rPr>
                      <w:fldChar w:fldCharType="separate"/>
                    </w:r>
                    <w:r>
                      <w:rPr>
                        <w:rStyle w:val="9"/>
                        <w:rFonts w:hint="eastAsia"/>
                        <w:sz w:val="28"/>
                      </w:rPr>
                      <w:t>２</w:t>
                    </w:r>
                    <w:r>
                      <w:rPr>
                        <w:sz w:val="28"/>
                      </w:rPr>
                      <w:fldChar w:fldCharType="end"/>
                    </w:r>
                    <w:r>
                      <w:rPr>
                        <w:rStyle w:val="9"/>
                        <w:rFonts w:hint="eastAsia"/>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posOffset>47625</wp:posOffset>
              </wp:positionH>
              <wp:positionV relativeFrom="paragraph">
                <wp:posOffset>-104775</wp:posOffset>
              </wp:positionV>
              <wp:extent cx="1053465" cy="290195"/>
              <wp:effectExtent l="0" t="0" r="0" b="0"/>
              <wp:wrapNone/>
              <wp:docPr id="5" name="文本框 4"/>
              <wp:cNvGraphicFramePr/>
              <a:graphic xmlns:a="http://schemas.openxmlformats.org/drawingml/2006/main">
                <a:graphicData uri="http://schemas.microsoft.com/office/word/2010/wordprocessingShape">
                  <wps:wsp>
                    <wps:cNvSpPr txBox="1"/>
                    <wps:spPr>
                      <a:xfrm>
                        <a:off x="0" y="0"/>
                        <a:ext cx="1053465" cy="290195"/>
                      </a:xfrm>
                      <a:prstGeom prst="rect">
                        <a:avLst/>
                      </a:prstGeom>
                      <a:noFill/>
                      <a:ln w="9525">
                        <a:noFill/>
                      </a:ln>
                    </wps:spPr>
                    <wps:txbx>
                      <w:txbxContent>
                        <w:p>
                          <w:pPr>
                            <w:pStyle w:val="5"/>
                            <w:rPr>
                              <w:rFonts w:hint="eastAsia" w:eastAsia="仿宋_GB2312"/>
                              <w:lang w:val="en-US"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24</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vert="horz" wrap="square" lIns="0" tIns="0" rIns="0" bIns="0" anchor="t" anchorCtr="0" upright="0">
                      <a:noAutofit/>
                    </wps:bodyPr>
                  </wps:wsp>
                </a:graphicData>
              </a:graphic>
            </wp:anchor>
          </w:drawing>
        </mc:Choice>
        <mc:Fallback>
          <w:pict>
            <v:shape id="文本框 4" o:spid="_x0000_s1026" o:spt="202" type="#_x0000_t202" style="position:absolute;left:0pt;margin-left:3.75pt;margin-top:-8.25pt;height:22.85pt;width:82.95pt;mso-position-horizontal-relative:margin;z-index:251661312;mso-width-relative:page;mso-height-relative:page;" filled="f" stroked="f" coordsize="21600,21600" o:gfxdata="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z&#10;Inry2AAAAAgBAAAPAAAAAAAAAAEAIAAAACIAAABkcnMvZG93bnJldi54bWxQSwECFAAUAAAACACH&#10;TuJAe0dDNOsBAADIAwAADgAAAAAAAAABACAAAAAnAQAAZHJzL2Uyb0RvYy54bWxQSwUGAAAAAAYA&#10;BgBZAQAAhAUAAAAA&#10;">
              <v:fill on="f" focussize="0,0"/>
              <v:stroke on="f"/>
              <v:imagedata o:title=""/>
              <o:lock v:ext="edit" aspectratio="f"/>
              <v:textbox inset="0mm,0mm,0mm,0mm">
                <w:txbxContent>
                  <w:p>
                    <w:pPr>
                      <w:pStyle w:val="5"/>
                      <w:rPr>
                        <w:rFonts w:hint="eastAsia" w:eastAsia="仿宋_GB2312"/>
                        <w:lang w:val="en-US"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24</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0" w:firstLine="0"/>
      </w:pPr>
      <w:rPr>
        <w:rFonts w:hint="default" w:ascii="Times New Roman" w:hAnsi="Times New Roman" w:cs="Times New Roman"/>
        <w:sz w:val="32"/>
        <w:szCs w:val="32"/>
      </w:rPr>
    </w:lvl>
    <w:lvl w:ilvl="1" w:tentative="0">
      <w:start w:val="1"/>
      <w:numFmt w:val="decimal"/>
      <w:suff w:val="space"/>
      <w:lvlText w:val="%1.%2"/>
      <w:lvlJc w:val="left"/>
      <w:pPr>
        <w:ind w:left="539" w:hanging="539"/>
      </w:pPr>
      <w:rPr>
        <w:rFonts w:hint="default" w:ascii="Times New Roman" w:hAnsi="Times New Roman" w:cs="Times New Roman"/>
      </w:rPr>
    </w:lvl>
    <w:lvl w:ilvl="2" w:tentative="0">
      <w:start w:val="1"/>
      <w:numFmt w:val="decimal"/>
      <w:pStyle w:val="2"/>
      <w:suff w:val="space"/>
      <w:lvlText w:val="%1.%2.%3"/>
      <w:lvlJc w:val="left"/>
      <w:pPr>
        <w:ind w:left="1986" w:hanging="709"/>
      </w:pPr>
      <w:rPr>
        <w:rFonts w:hint="default" w:ascii="Times New Roman" w:hAnsi="Times New Roman" w:cs="Times New Roman"/>
      </w:rPr>
    </w:lvl>
    <w:lvl w:ilvl="3" w:tentative="0">
      <w:start w:val="1"/>
      <w:numFmt w:val="decimal"/>
      <w:suff w:val="space"/>
      <w:lvlText w:val="(%4)"/>
      <w:lvlJc w:val="left"/>
      <w:pPr>
        <w:ind w:left="268" w:firstLine="442"/>
      </w:pPr>
      <w:rPr>
        <w:rFonts w:hint="eastAsia"/>
      </w:rPr>
    </w:lvl>
    <w:lvl w:ilvl="4" w:tentative="0">
      <w:start w:val="1"/>
      <w:numFmt w:val="none"/>
      <w:lvlText w:val=""/>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15"/>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2MTM5NjU0NWQ1NDg4ZjcxNDQ5NzlkNzRjOTM4MmEifQ=="/>
  </w:docVars>
  <w:rsids>
    <w:rsidRoot w:val="15FA0956"/>
    <w:rsid w:val="001506AE"/>
    <w:rsid w:val="003040AE"/>
    <w:rsid w:val="00326B61"/>
    <w:rsid w:val="003B06FC"/>
    <w:rsid w:val="006113EE"/>
    <w:rsid w:val="00746350"/>
    <w:rsid w:val="00827F35"/>
    <w:rsid w:val="00890DC9"/>
    <w:rsid w:val="009D5E66"/>
    <w:rsid w:val="009E35BA"/>
    <w:rsid w:val="00D476D1"/>
    <w:rsid w:val="00EA3917"/>
    <w:rsid w:val="00EF14C6"/>
    <w:rsid w:val="00FC537E"/>
    <w:rsid w:val="00FD79A1"/>
    <w:rsid w:val="00FF3EC4"/>
    <w:rsid w:val="0DB77041"/>
    <w:rsid w:val="10F646D4"/>
    <w:rsid w:val="15FA0956"/>
    <w:rsid w:val="16822D68"/>
    <w:rsid w:val="1A6143FC"/>
    <w:rsid w:val="1E5439FB"/>
    <w:rsid w:val="229307FF"/>
    <w:rsid w:val="22BA530B"/>
    <w:rsid w:val="28777E0A"/>
    <w:rsid w:val="28A54197"/>
    <w:rsid w:val="297B5356"/>
    <w:rsid w:val="40C015F7"/>
    <w:rsid w:val="40E805FF"/>
    <w:rsid w:val="49B16181"/>
    <w:rsid w:val="53FF112C"/>
    <w:rsid w:val="63193087"/>
    <w:rsid w:val="675E4FBB"/>
    <w:rsid w:val="690961EB"/>
    <w:rsid w:val="79794DDA"/>
    <w:rsid w:val="7D7F79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uiPriority w:val="0"/>
    <w:pPr>
      <w:ind w:left="1254"/>
      <w:outlineLvl w:val="0"/>
    </w:pPr>
    <w:rPr>
      <w:rFonts w:ascii="宋体" w:hAnsi="宋体" w:eastAsia="宋体" w:cs="Times New Roman"/>
      <w:sz w:val="43"/>
      <w:szCs w:val="43"/>
    </w:rPr>
  </w:style>
  <w:style w:type="paragraph" w:styleId="2">
    <w:name w:val="heading 3"/>
    <w:basedOn w:val="1"/>
    <w:next w:val="1"/>
    <w:qFormat/>
    <w:uiPriority w:val="0"/>
    <w:pPr>
      <w:keepNext/>
      <w:keepLines/>
      <w:widowControl w:val="0"/>
      <w:numPr>
        <w:ilvl w:val="2"/>
        <w:numId w:val="1"/>
      </w:numPr>
      <w:spacing w:before="120" w:beforeLines="0" w:after="120" w:afterLines="0" w:line="240" w:lineRule="auto"/>
      <w:ind w:left="709" w:firstLineChars="0"/>
      <w:outlineLvl w:val="2"/>
    </w:pPr>
    <w:rPr>
      <w:rFonts w:ascii="Times New Roman" w:hAnsi="Times New Roman" w:eastAsia="仿宋" w:cs="Times New Roman"/>
      <w:b/>
      <w:bCs/>
      <w:kern w:val="2"/>
      <w:sz w:val="32"/>
      <w:szCs w:val="32"/>
      <w:lang w:val="en-US" w:eastAsia="en-US" w:bidi="ar-SA"/>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Body Text"/>
    <w:basedOn w:val="1"/>
    <w:unhideWhenUsed/>
    <w:qFormat/>
    <w:uiPriority w:val="99"/>
    <w:pPr>
      <w:spacing w:before="10"/>
      <w:ind w:left="124"/>
      <w:jc w:val="left"/>
    </w:pPr>
    <w:rPr>
      <w:rFonts w:ascii="宋体" w:hAnsi="宋体" w:eastAsia="宋体"/>
      <w:kern w:val="0"/>
      <w:sz w:val="29"/>
      <w:szCs w:val="29"/>
      <w:lang w:eastAsia="en-US"/>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7827;&#24220;&#2115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河府办.dot</Template>
  <Pages>2</Pages>
  <Words>151</Words>
  <Characters>160</Characters>
  <Lines>1</Lines>
  <Paragraphs>1</Paragraphs>
  <TotalTime>27</TotalTime>
  <ScaleCrop>false</ScaleCrop>
  <LinksUpToDate>false</LinksUpToDate>
  <CharactersWithSpaces>263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2024-03-25T01:37:00Z</dcterms:created>
  <dc:creator>市府办公室电脑室</dc:creator>
  <cp:lastModifiedBy>WPS_1620801860</cp:lastModifiedBy>
  <cp:lastPrinted>2024-03-26T03:29:00Z</cp:lastPrinted>
  <dcterms:modified xsi:type="dcterms:W3CDTF">2024-04-02T02:35:21Z</dcterms:modified>
  <dc:title>河府办〔2004〕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2F4D06925FD24081A83F7E743C539242</vt:lpwstr>
  </property>
</Properties>
</file>