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2024年省级财政专项资金目录清单</w:t>
      </w:r>
    </w:p>
    <w:p>
      <w:pPr>
        <w:jc w:val="center"/>
        <w:rPr>
          <w:rFonts w:hint="default" w:ascii="仿宋_GB2312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宋体" w:cs="宋体"/>
          <w:color w:val="000000"/>
          <w:kern w:val="0"/>
          <w:sz w:val="24"/>
          <w:lang w:val="en-US" w:eastAsia="zh-CN"/>
        </w:rPr>
        <w:t>单位：万元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56"/>
        <w:gridCol w:w="456"/>
        <w:gridCol w:w="1870"/>
        <w:gridCol w:w="2020"/>
        <w:gridCol w:w="875"/>
        <w:gridCol w:w="875"/>
        <w:gridCol w:w="877"/>
        <w:gridCol w:w="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专项资金名称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财政事权</w:t>
            </w:r>
          </w:p>
        </w:tc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政策任务</w:t>
            </w: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主要用途</w:t>
            </w:r>
          </w:p>
        </w:tc>
        <w:tc>
          <w:tcPr>
            <w:tcW w:w="1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绩效目标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资金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额度</w:t>
            </w:r>
          </w:p>
        </w:tc>
        <w:tc>
          <w:tcPr>
            <w:tcW w:w="1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下放市县审批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权限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（战略领域名称）</w:t>
            </w: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需二次分配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下达省直管县</w:t>
            </w:r>
          </w:p>
        </w:tc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  <w:t>促进经济高质量发展专项资金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市场监督管理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知识产权创造运用及保护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推动知识产权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“放管服”改革和区域布局、知识产权高质量发展、严格知识产权保护、知识产权高效运用、建立便民利民的知识产权公共服务体系、知识产权省部共建等方向。</w:t>
            </w:r>
            <w:r>
              <w:rPr>
                <w:rFonts w:ascii="仿宋_GB2312" w:hAnsi="宋体" w:cs="宋体"/>
                <w:color w:val="auto"/>
                <w:kern w:val="0"/>
                <w:sz w:val="24"/>
              </w:rPr>
              <w:t>加快完善知识产权保护体系，提升知识产权行政裁决效能，加强知识产权纠纷多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元化解决，加强知识产权保护协作，提升基层知识产权保护能力，加强重点领域、关键环节知识产权保护，加强地理标志产品保护，加强知识产权海外维权援助工作。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深化知识产权领域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“放管服”改革，全面提升知识产权创造质量、保护效果、运用效益、管理水平、服务能力和国际影响力，加快建设引领型知识产权强省。激励创新，促进知识产权高质量创造、高效率运用及全链条保护，为广东创新发展提供支撑。完成2024年度国家和省委、省政府知识产权保护工作各项工作部署，加快完善知识产</w:t>
            </w:r>
            <w:bookmarkStart w:id="0" w:name="_GoBack"/>
            <w:bookmarkEnd w:id="0"/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权保护体系，提升知识产权行政裁决效能，加强知识产权纠纷多元化解决，加强知识产权保护协作，加强重点领域、关键环节知识产权保护，加强地理标志产品保护，提升知识产权保护资金使用绩效。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648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598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GVmZmUzYjk4NmQ5YTA2MDQwNDdlZDQxZTMwNjIifQ=="/>
  </w:docVars>
  <w:rsids>
    <w:rsidRoot w:val="1A49035C"/>
    <w:rsid w:val="1A49035C"/>
    <w:rsid w:val="54AA4B32"/>
    <w:rsid w:val="6B7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河源市质监局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2024-04-15T07:57:00Z</dcterms:created>
  <dc:creator>Administrator</dc:creator>
  <cp:lastModifiedBy>Administrator</cp:lastModifiedBy>
  <dcterms:modified xsi:type="dcterms:W3CDTF">2024-04-16T03:54:54Z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45CF85BE8F8A48CBAD92FA1AD07B165A_11</vt:lpwstr>
  </property>
</Properties>
</file>