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河源市</w:t>
      </w:r>
      <w:r>
        <w:rPr>
          <w:rFonts w:hint="eastAsia" w:ascii="方正小标宋简体" w:hAnsi="方正小标宋简体" w:eastAsia="方正小标宋简体" w:cs="方正小标宋简体"/>
          <w:b w:val="0"/>
          <w:bCs w:val="0"/>
          <w:color w:val="auto"/>
          <w:sz w:val="44"/>
          <w:szCs w:val="44"/>
        </w:rPr>
        <w:t>推进油茶产业高质量发展实施方案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0"/>
          <w:szCs w:val="40"/>
          <w:lang w:eastAsia="zh-CN"/>
        </w:rPr>
      </w:pPr>
      <w:r>
        <w:rPr>
          <w:rFonts w:hint="eastAsia" w:ascii="方正小标宋简体" w:hAnsi="方正小标宋简体" w:eastAsia="方正小标宋简体" w:cs="方正小标宋简体"/>
          <w:b w:val="0"/>
          <w:bCs w:val="0"/>
          <w:color w:val="auto"/>
          <w:sz w:val="44"/>
          <w:szCs w:val="44"/>
          <w:lang w:eastAsia="zh-CN"/>
        </w:rPr>
        <w:t>（</w:t>
      </w:r>
      <w:r>
        <w:rPr>
          <w:rFonts w:hint="eastAsia" w:ascii="方正小标宋简体" w:hAnsi="方正小标宋简体" w:eastAsia="方正小标宋简体" w:cs="方正小标宋简体"/>
          <w:b w:val="0"/>
          <w:bCs w:val="0"/>
          <w:color w:val="auto"/>
          <w:sz w:val="44"/>
          <w:szCs w:val="44"/>
          <w:lang w:val="en-US" w:eastAsia="zh-CN"/>
        </w:rPr>
        <w:t>2023—2027年</w:t>
      </w:r>
      <w:r>
        <w:rPr>
          <w:rFonts w:hint="eastAsia" w:ascii="方正小标宋简体" w:hAnsi="方正小标宋简体" w:eastAsia="方正小标宋简体" w:cs="方正小标宋简体"/>
          <w:b w:val="0"/>
          <w:bCs w:val="0"/>
          <w:color w:val="auto"/>
          <w:sz w:val="44"/>
          <w:szCs w:val="44"/>
          <w:lang w:eastAsia="zh-CN"/>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仿宋" w:hAnsi="仿宋" w:eastAsia="仿宋" w:cs="仿宋"/>
          <w:b w:val="0"/>
          <w:bCs w:val="0"/>
          <w:color w:val="auto"/>
          <w:sz w:val="32"/>
          <w:szCs w:val="32"/>
        </w:rPr>
      </w:pP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为深入贯彻《财政部办公厅 国家林草局办公室关于实施中央财政油茶产业发展奖补政策的通知》《广东省加快油茶产业发展三年行动方案（2023—2025年）》等文件精神，落实市委八届七次全会暨市委经济工作会议精神，推进“土特产”优强行动深入实施，发挥绿美河源生态建设综合效益，推动油茶产业高质量发展，结合实际，特制定本方案。</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一、指导思想</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坚持以习近平新时代中国特色社会主义思想为指导，全面贯彻党的二十大、二十届二中全会精神，贯彻落实党中央、国务院关于发展油茶的重大决策部署，积极践行“绿水青山就是金山银山”的发展理念，深入实施“百县千镇万村高质量发展工程”，坚持以市场为导向、科技为手段、效益为中心，因地制宜、科学规划、精准施策，将油茶产业打造成全市“绿富双赢”的示范样板产业，推动油茶产业提质增效，促进乡村产业振兴、农民增收致富，助力全市加快实现绿色崛起。</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w:t>
      </w:r>
      <w:r>
        <w:rPr>
          <w:rFonts w:hint="eastAsia" w:ascii="黑体" w:hAnsi="黑体" w:eastAsia="黑体" w:cs="黑体"/>
          <w:b w:val="0"/>
          <w:bCs w:val="0"/>
          <w:color w:val="auto"/>
          <w:sz w:val="32"/>
          <w:szCs w:val="32"/>
          <w:lang w:eastAsia="zh-CN"/>
        </w:rPr>
        <w:t>总体</w:t>
      </w:r>
      <w:r>
        <w:rPr>
          <w:rFonts w:hint="eastAsia" w:ascii="黑体" w:hAnsi="黑体" w:eastAsia="黑体" w:cs="黑体"/>
          <w:b w:val="0"/>
          <w:bCs w:val="0"/>
          <w:color w:val="auto"/>
          <w:sz w:val="32"/>
          <w:szCs w:val="32"/>
        </w:rPr>
        <w:t>目标</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围绕“扩规模、提质效、延链条、优品牌、强科技”的发展思路，以绿美河源生态建设、中央财政油茶产业发展示范奖补项目和省级油茶跨县集群产业园为抓手，全面提升油茶规模化、标准化和产业化水平，着力构建现代油茶产业发展体系，推动油茶一二三产业融合发展。到2027年，全市完成油茶林新造34万亩、油茶林低产低效改造9万亩、抚育20万亩，全市油茶种植总面积达100万亩以上、茶油产能达2.8万吨，创建“万绿河源山茶油”区域公用品牌，培育茶油国内知名品牌2个、省内知名品牌8个，油茶全产业链综合产值超50亿元，力争将河源打造成为全省油茶产业发展新高地。</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三、基本原则</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lang w:val="en-US" w:eastAsia="zh-CN"/>
        </w:rPr>
        <w:t>（一）坚持政府引导、市场主导。</w:t>
      </w:r>
      <w:r>
        <w:rPr>
          <w:rFonts w:hint="eastAsia" w:ascii="仿宋_GB2312" w:hAnsi="仿宋_GB2312" w:eastAsia="仿宋_GB2312" w:cs="仿宋_GB2312"/>
          <w:b w:val="0"/>
          <w:bCs w:val="0"/>
          <w:color w:val="auto"/>
          <w:sz w:val="32"/>
          <w:szCs w:val="32"/>
        </w:rPr>
        <w:t>搭建</w:t>
      </w:r>
      <w:r>
        <w:rPr>
          <w:rFonts w:hint="eastAsia" w:ascii="仿宋_GB2312" w:hAnsi="仿宋_GB2312" w:eastAsia="仿宋_GB2312" w:cs="仿宋_GB2312"/>
          <w:b w:val="0"/>
          <w:bCs w:val="0"/>
          <w:color w:val="auto"/>
          <w:sz w:val="32"/>
          <w:szCs w:val="32"/>
          <w:lang w:eastAsia="zh-CN"/>
        </w:rPr>
        <w:t>政企</w:t>
      </w:r>
      <w:r>
        <w:rPr>
          <w:rFonts w:hint="eastAsia" w:ascii="仿宋_GB2312" w:hAnsi="仿宋_GB2312" w:eastAsia="仿宋_GB2312" w:cs="仿宋_GB2312"/>
          <w:b w:val="0"/>
          <w:bCs w:val="0"/>
          <w:color w:val="auto"/>
          <w:sz w:val="32"/>
          <w:szCs w:val="32"/>
        </w:rPr>
        <w:t>对接平台，建立健全信息共享机制</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积极支持引导社会力量广泛参与，</w:t>
      </w:r>
      <w:r>
        <w:rPr>
          <w:rFonts w:hint="eastAsia" w:ascii="仿宋_GB2312" w:hAnsi="仿宋_GB2312" w:eastAsia="仿宋_GB2312" w:cs="仿宋_GB2312"/>
          <w:b w:val="0"/>
          <w:bCs w:val="0"/>
          <w:color w:val="auto"/>
          <w:sz w:val="32"/>
          <w:szCs w:val="32"/>
          <w:lang w:eastAsia="zh-CN"/>
        </w:rPr>
        <w:t>发挥相关部门职能作用，</w:t>
      </w:r>
      <w:r>
        <w:rPr>
          <w:rFonts w:hint="eastAsia" w:ascii="仿宋_GB2312" w:hAnsi="仿宋_GB2312" w:eastAsia="仿宋_GB2312" w:cs="仿宋_GB2312"/>
          <w:b w:val="0"/>
          <w:bCs w:val="0"/>
          <w:color w:val="auto"/>
          <w:sz w:val="32"/>
          <w:szCs w:val="32"/>
        </w:rPr>
        <w:t>推动形成油茶产业高质量发展</w:t>
      </w:r>
      <w:r>
        <w:rPr>
          <w:rFonts w:hint="eastAsia" w:ascii="仿宋_GB2312" w:hAnsi="仿宋_GB2312" w:eastAsia="仿宋_GB2312" w:cs="仿宋_GB2312"/>
          <w:b w:val="0"/>
          <w:bCs w:val="0"/>
          <w:color w:val="auto"/>
          <w:sz w:val="32"/>
          <w:szCs w:val="32"/>
          <w:lang w:val="en-US" w:eastAsia="zh-CN"/>
        </w:rPr>
        <w:t>的</w:t>
      </w:r>
      <w:r>
        <w:rPr>
          <w:rFonts w:hint="eastAsia" w:ascii="仿宋_GB2312" w:hAnsi="仿宋_GB2312" w:eastAsia="仿宋_GB2312" w:cs="仿宋_GB2312"/>
          <w:b w:val="0"/>
          <w:bCs w:val="0"/>
          <w:color w:val="auto"/>
          <w:sz w:val="32"/>
          <w:szCs w:val="32"/>
        </w:rPr>
        <w:t>强大合力。</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val="0"/>
          <w:bCs w:val="0"/>
          <w:color w:val="auto"/>
          <w:sz w:val="32"/>
          <w:szCs w:val="32"/>
          <w:lang w:val="en-US" w:eastAsia="zh-CN"/>
        </w:rPr>
        <w:t>（二）坚持生态优先、绿色发展。</w:t>
      </w:r>
      <w:r>
        <w:rPr>
          <w:rFonts w:hint="eastAsia" w:ascii="仿宋_GB2312" w:hAnsi="仿宋_GB2312" w:eastAsia="仿宋_GB2312" w:cs="仿宋_GB2312"/>
          <w:b w:val="0"/>
          <w:bCs w:val="0"/>
          <w:color w:val="000000"/>
          <w:sz w:val="32"/>
          <w:szCs w:val="32"/>
          <w:u w:val="none"/>
        </w:rPr>
        <w:t>严守生态保护红线，</w:t>
      </w:r>
      <w:r>
        <w:rPr>
          <w:rFonts w:hint="eastAsia" w:ascii="仿宋_GB2312" w:hAnsi="仿宋_GB2312" w:eastAsia="仿宋_GB2312" w:cs="仿宋_GB2312"/>
          <w:b w:val="0"/>
          <w:bCs w:val="0"/>
          <w:color w:val="000000"/>
          <w:sz w:val="32"/>
          <w:szCs w:val="32"/>
          <w:u w:val="none"/>
          <w:lang w:eastAsia="zh-CN"/>
        </w:rPr>
        <w:t>坚持</w:t>
      </w:r>
      <w:r>
        <w:rPr>
          <w:rFonts w:hint="eastAsia" w:ascii="仿宋_GB2312" w:hAnsi="仿宋_GB2312" w:eastAsia="仿宋_GB2312" w:cs="仿宋_GB2312"/>
          <w:b w:val="0"/>
          <w:bCs w:val="0"/>
          <w:color w:val="000000"/>
          <w:sz w:val="32"/>
          <w:szCs w:val="32"/>
          <w:u w:val="none"/>
        </w:rPr>
        <w:t>山水林田湖草沙系统</w:t>
      </w:r>
      <w:r>
        <w:rPr>
          <w:rFonts w:hint="eastAsia" w:ascii="仿宋_GB2312" w:hAnsi="仿宋_GB2312" w:eastAsia="仿宋_GB2312" w:cs="仿宋_GB2312"/>
          <w:b w:val="0"/>
          <w:bCs w:val="0"/>
          <w:color w:val="000000"/>
          <w:sz w:val="32"/>
          <w:szCs w:val="32"/>
          <w:u w:val="none"/>
          <w:lang w:eastAsia="zh-CN"/>
        </w:rPr>
        <w:t>一体化保护和系统治理，</w:t>
      </w:r>
      <w:r>
        <w:rPr>
          <w:rFonts w:hint="eastAsia" w:ascii="仿宋_GB2312" w:hAnsi="仿宋_GB2312" w:eastAsia="仿宋_GB2312" w:cs="仿宋_GB2312"/>
          <w:b w:val="0"/>
          <w:bCs w:val="0"/>
          <w:color w:val="auto"/>
          <w:sz w:val="32"/>
          <w:szCs w:val="32"/>
        </w:rPr>
        <w:t>依法依规开垦种植，做好水土</w:t>
      </w:r>
      <w:r>
        <w:rPr>
          <w:rFonts w:hint="eastAsia" w:ascii="仿宋_GB2312" w:hAnsi="仿宋_GB2312" w:eastAsia="仿宋_GB2312" w:cs="仿宋_GB2312"/>
          <w:b w:val="0"/>
          <w:bCs w:val="0"/>
          <w:color w:val="auto"/>
          <w:sz w:val="32"/>
          <w:szCs w:val="32"/>
          <w:lang w:val="en-US" w:eastAsia="zh-CN"/>
        </w:rPr>
        <w:t>保持</w:t>
      </w:r>
      <w:r>
        <w:rPr>
          <w:rFonts w:hint="eastAsia" w:ascii="仿宋_GB2312" w:hAnsi="仿宋_GB2312" w:eastAsia="仿宋_GB2312" w:cs="仿宋_GB2312"/>
          <w:b w:val="0"/>
          <w:bCs w:val="0"/>
          <w:color w:val="auto"/>
          <w:sz w:val="32"/>
          <w:szCs w:val="32"/>
        </w:rPr>
        <w:t>工作</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提倡</w:t>
      </w:r>
      <w:r>
        <w:rPr>
          <w:rFonts w:hint="eastAsia" w:ascii="仿宋_GB2312" w:hAnsi="仿宋_GB2312" w:eastAsia="仿宋_GB2312" w:cs="仿宋_GB2312"/>
          <w:b w:val="0"/>
          <w:bCs w:val="0"/>
          <w:color w:val="auto"/>
          <w:sz w:val="32"/>
          <w:szCs w:val="32"/>
          <w:lang w:val="en-US" w:eastAsia="zh-CN"/>
        </w:rPr>
        <w:t>油茶林科学</w:t>
      </w:r>
      <w:r>
        <w:rPr>
          <w:rFonts w:hint="eastAsia" w:ascii="仿宋_GB2312" w:hAnsi="仿宋_GB2312" w:eastAsia="仿宋_GB2312" w:cs="仿宋_GB2312"/>
          <w:b w:val="0"/>
          <w:bCs w:val="0"/>
          <w:color w:val="auto"/>
          <w:sz w:val="32"/>
          <w:szCs w:val="32"/>
        </w:rPr>
        <w:t>搭配</w:t>
      </w:r>
      <w:r>
        <w:rPr>
          <w:rFonts w:hint="eastAsia" w:ascii="仿宋_GB2312" w:hAnsi="仿宋_GB2312" w:eastAsia="仿宋_GB2312" w:cs="仿宋_GB2312"/>
          <w:b w:val="0"/>
          <w:bCs w:val="0"/>
          <w:color w:val="auto"/>
          <w:sz w:val="32"/>
          <w:szCs w:val="32"/>
          <w:lang w:val="en-US" w:eastAsia="zh-CN"/>
        </w:rPr>
        <w:t>种植</w:t>
      </w:r>
      <w:r>
        <w:rPr>
          <w:rFonts w:hint="eastAsia" w:ascii="仿宋_GB2312" w:hAnsi="仿宋_GB2312" w:eastAsia="仿宋_GB2312" w:cs="仿宋_GB2312"/>
          <w:b w:val="0"/>
          <w:bCs w:val="0"/>
          <w:color w:val="auto"/>
          <w:sz w:val="32"/>
          <w:szCs w:val="32"/>
        </w:rPr>
        <w:t>多树种，营造混交林</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提高油茶资源培育质量</w:t>
      </w:r>
      <w:r>
        <w:rPr>
          <w:rFonts w:hint="eastAsia" w:ascii="仿宋_GB2312" w:hAnsi="仿宋_GB2312" w:eastAsia="仿宋_GB2312" w:cs="仿宋_GB2312"/>
          <w:b w:val="0"/>
          <w:bCs w:val="0"/>
          <w:color w:val="auto"/>
          <w:sz w:val="32"/>
          <w:szCs w:val="32"/>
          <w:lang w:eastAsia="zh-CN"/>
        </w:rPr>
        <w:t>。</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34"/>
        <w:jc w:val="both"/>
        <w:textAlignment w:val="auto"/>
        <w:rPr>
          <w:rFonts w:hint="eastAsia" w:ascii="仿宋_GB2312" w:hAnsi="仿宋_GB2312" w:eastAsia="仿宋_GB2312" w:cs="仿宋_GB2312"/>
          <w:b w:val="0"/>
          <w:bCs w:val="0"/>
          <w:color w:val="auto"/>
          <w:sz w:val="32"/>
          <w:szCs w:val="32"/>
          <w:u w:val="none"/>
        </w:rPr>
      </w:pPr>
      <w:r>
        <w:rPr>
          <w:rFonts w:hint="eastAsia" w:ascii="楷体_GB2312" w:hAnsi="楷体_GB2312" w:eastAsia="楷体_GB2312" w:cs="楷体_GB2312"/>
          <w:b w:val="0"/>
          <w:bCs w:val="0"/>
          <w:color w:val="auto"/>
          <w:kern w:val="2"/>
          <w:sz w:val="32"/>
          <w:szCs w:val="32"/>
          <w:lang w:val="en-US" w:eastAsia="zh-CN" w:bidi="ar-SA"/>
        </w:rPr>
        <w:t>（三）坚持科技创新、示范带动。</w:t>
      </w:r>
      <w:r>
        <w:rPr>
          <w:rFonts w:hint="eastAsia" w:ascii="仿宋_GB2312" w:hAnsi="仿宋_GB2312" w:eastAsia="仿宋_GB2312" w:cs="仿宋_GB2312"/>
          <w:b w:val="0"/>
          <w:bCs w:val="0"/>
          <w:color w:val="auto"/>
          <w:sz w:val="32"/>
          <w:szCs w:val="32"/>
          <w:u w:val="none"/>
        </w:rPr>
        <w:t>强化科技、机械对</w:t>
      </w:r>
      <w:r>
        <w:rPr>
          <w:rFonts w:hint="eastAsia" w:ascii="仿宋_GB2312" w:hAnsi="仿宋_GB2312" w:eastAsia="仿宋_GB2312" w:cs="仿宋_GB2312"/>
          <w:b w:val="0"/>
          <w:bCs w:val="0"/>
          <w:color w:val="auto"/>
          <w:sz w:val="32"/>
          <w:szCs w:val="32"/>
          <w:u w:val="none"/>
          <w:lang w:eastAsia="zh-CN"/>
        </w:rPr>
        <w:t>油茶</w:t>
      </w:r>
      <w:r>
        <w:rPr>
          <w:rFonts w:hint="eastAsia" w:ascii="仿宋_GB2312" w:hAnsi="仿宋_GB2312" w:eastAsia="仿宋_GB2312" w:cs="仿宋_GB2312"/>
          <w:b w:val="0"/>
          <w:bCs w:val="0"/>
          <w:color w:val="auto"/>
          <w:sz w:val="32"/>
          <w:szCs w:val="32"/>
          <w:u w:val="none"/>
        </w:rPr>
        <w:t>产业的支撑作用，加快技术、业态和模式创新，建设一批油茶高产示范基地、示范县和产业示范园区，培育壮大一批龙头企业，带动全市油茶产业高质量发展。</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lang w:val="en-US" w:eastAsia="zh-CN"/>
        </w:rPr>
        <w:t>（四）坚持品牌赋能、培育精品。</w:t>
      </w:r>
      <w:r>
        <w:rPr>
          <w:rFonts w:hint="eastAsia" w:ascii="仿宋_GB2312" w:hAnsi="仿宋_GB2312" w:eastAsia="仿宋_GB2312" w:cs="仿宋_GB2312"/>
          <w:b w:val="0"/>
          <w:bCs w:val="0"/>
          <w:color w:val="auto"/>
          <w:kern w:val="0"/>
          <w:sz w:val="32"/>
          <w:szCs w:val="32"/>
          <w:u w:val="none"/>
          <w:lang w:val="en-US" w:eastAsia="zh-CN" w:bidi="ar"/>
        </w:rPr>
        <w:t>依托绿水青山、客家文化等本土特色资源，以高产、优质、高效、安全为目标，加大油茶产业标准体系建设力度，强化检测检验技术支撑和市场监管，培育打造“万绿河源山茶油”名片，全面提升茶</w:t>
      </w:r>
      <w:r>
        <w:rPr>
          <w:rFonts w:hint="eastAsia" w:ascii="仿宋_GB2312" w:hAnsi="仿宋_GB2312" w:eastAsia="仿宋_GB2312" w:cs="仿宋_GB2312"/>
          <w:b w:val="0"/>
          <w:bCs w:val="0"/>
          <w:color w:val="auto"/>
          <w:sz w:val="32"/>
          <w:szCs w:val="32"/>
        </w:rPr>
        <w:t>油品牌竞争力</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影响力</w:t>
      </w:r>
      <w:r>
        <w:rPr>
          <w:rFonts w:hint="eastAsia" w:ascii="仿宋_GB2312" w:hAnsi="仿宋_GB2312" w:eastAsia="仿宋_GB2312" w:cs="仿宋_GB2312"/>
          <w:b w:val="0"/>
          <w:bCs w:val="0"/>
          <w:color w:val="auto"/>
          <w:sz w:val="32"/>
          <w:szCs w:val="32"/>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四、发展布局</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u w:val="none"/>
          <w:lang w:val="en-US" w:eastAsia="zh-CN" w:bidi="ar"/>
        </w:rPr>
      </w:pPr>
      <w:r>
        <w:rPr>
          <w:rFonts w:hint="eastAsia" w:ascii="仿宋_GB2312" w:hAnsi="仿宋_GB2312" w:eastAsia="仿宋_GB2312" w:cs="仿宋_GB2312"/>
          <w:b w:val="0"/>
          <w:bCs w:val="0"/>
          <w:color w:val="auto"/>
          <w:kern w:val="0"/>
          <w:sz w:val="32"/>
          <w:szCs w:val="32"/>
          <w:u w:val="none"/>
          <w:lang w:val="en-US" w:eastAsia="zh-CN" w:bidi="ar"/>
        </w:rPr>
        <w:t>依据全市油茶发展历史、现状、潜力和资源分布等因素，规划布局以东源县、和平县和龙川县为油茶产业核心发展区，以紫金县、连平县为油茶产业重点拓展区，以源城区、江东新区为油茶产业潜力发展区。以3个区域布局全市油茶发展任务，突出核心重点，分区施策，推动全市全域油茶产业高质量发展。</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u w:val="none"/>
          <w:lang w:val="en-US" w:eastAsia="zh-CN" w:bidi="ar"/>
        </w:rPr>
      </w:pPr>
      <w:r>
        <w:rPr>
          <w:rFonts w:hint="eastAsia" w:ascii="仿宋_GB2312" w:hAnsi="仿宋_GB2312" w:eastAsia="仿宋_GB2312" w:cs="仿宋_GB2312"/>
          <w:b w:val="0"/>
          <w:bCs w:val="0"/>
          <w:color w:val="auto"/>
          <w:kern w:val="0"/>
          <w:sz w:val="32"/>
          <w:szCs w:val="32"/>
          <w:u w:val="none"/>
          <w:lang w:val="en-US" w:eastAsia="zh-CN" w:bidi="ar"/>
        </w:rPr>
        <w:t>任务分布：核心发展区实施油茶新造25.36万亩、改造2</w:t>
      </w:r>
      <w:r>
        <w:rPr>
          <w:rFonts w:hint="eastAsia" w:ascii="仿宋_GB2312" w:hAnsi="仿宋_GB2312" w:eastAsia="仿宋_GB2312" w:cs="仿宋_GB2312"/>
          <w:b w:val="0"/>
          <w:bCs w:val="0"/>
          <w:color w:val="auto"/>
          <w:kern w:val="0"/>
          <w:sz w:val="32"/>
          <w:szCs w:val="32"/>
          <w:u w:val="none"/>
          <w:lang w:val="en-US" w:eastAsia="zh" w:bidi="ar"/>
        </w:rPr>
        <w:t>5.83</w:t>
      </w:r>
      <w:r>
        <w:rPr>
          <w:rFonts w:hint="eastAsia" w:ascii="仿宋_GB2312" w:hAnsi="仿宋_GB2312" w:eastAsia="仿宋_GB2312" w:cs="仿宋_GB2312"/>
          <w:b w:val="0"/>
          <w:bCs w:val="0"/>
          <w:color w:val="auto"/>
          <w:kern w:val="0"/>
          <w:sz w:val="32"/>
          <w:szCs w:val="32"/>
          <w:u w:val="none"/>
          <w:lang w:val="en-US" w:eastAsia="zh-CN" w:bidi="ar"/>
        </w:rPr>
        <w:t>万亩；重点拓展区实施油茶新造7.67万亩、改造</w:t>
      </w:r>
      <w:r>
        <w:rPr>
          <w:rFonts w:hint="eastAsia" w:ascii="仿宋_GB2312" w:hAnsi="仿宋_GB2312" w:eastAsia="仿宋_GB2312" w:cs="仿宋_GB2312"/>
          <w:b w:val="0"/>
          <w:bCs w:val="0"/>
          <w:color w:val="auto"/>
          <w:kern w:val="0"/>
          <w:sz w:val="32"/>
          <w:szCs w:val="32"/>
          <w:u w:val="none"/>
          <w:lang w:val="en-US" w:eastAsia="zh" w:bidi="ar"/>
        </w:rPr>
        <w:t>2.49</w:t>
      </w:r>
      <w:r>
        <w:rPr>
          <w:rFonts w:hint="eastAsia" w:ascii="仿宋_GB2312" w:hAnsi="仿宋_GB2312" w:eastAsia="仿宋_GB2312" w:cs="仿宋_GB2312"/>
          <w:b w:val="0"/>
          <w:bCs w:val="0"/>
          <w:color w:val="auto"/>
          <w:kern w:val="0"/>
          <w:sz w:val="32"/>
          <w:szCs w:val="32"/>
          <w:u w:val="none"/>
          <w:lang w:val="en-US" w:eastAsia="zh-CN" w:bidi="ar"/>
        </w:rPr>
        <w:t>万亩；潜力发展区实施油茶新造0.97万亩、</w:t>
      </w:r>
      <w:r>
        <w:rPr>
          <w:rFonts w:hint="eastAsia" w:ascii="仿宋_GB2312" w:hAnsi="仿宋_GB2312" w:eastAsia="仿宋_GB2312" w:cs="仿宋_GB2312"/>
          <w:b w:val="0"/>
          <w:bCs w:val="0"/>
          <w:color w:val="auto"/>
          <w:kern w:val="0"/>
          <w:sz w:val="32"/>
          <w:szCs w:val="32"/>
          <w:u w:val="none"/>
          <w:lang w:val="en-US" w:eastAsia="zh" w:bidi="ar"/>
        </w:rPr>
        <w:t>改造0.68万亩</w:t>
      </w:r>
      <w:r>
        <w:rPr>
          <w:rFonts w:hint="eastAsia" w:ascii="仿宋_GB2312" w:hAnsi="仿宋_GB2312" w:eastAsia="仿宋_GB2312" w:cs="仿宋_GB2312"/>
          <w:b w:val="0"/>
          <w:bCs w:val="0"/>
          <w:color w:val="auto"/>
          <w:kern w:val="0"/>
          <w:sz w:val="32"/>
          <w:szCs w:val="32"/>
          <w:u w:val="none"/>
          <w:lang w:val="en-US" w:eastAsia="zh-CN" w:bidi="ar"/>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五、重点任务</w:t>
      </w:r>
    </w:p>
    <w:p>
      <w:pPr>
        <w:keepNext w:val="0"/>
        <w:keepLines w:val="0"/>
        <w:pageBreakBefore w:val="0"/>
        <w:tabs>
          <w:tab w:val="left" w:pos="0"/>
        </w:tabs>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val="0"/>
          <w:bCs w:val="0"/>
          <w:color w:val="auto"/>
          <w:sz w:val="32"/>
          <w:szCs w:val="32"/>
          <w:lang w:val="en-US" w:eastAsia="zh-CN"/>
        </w:rPr>
        <w:t>（一）推进一产扩面增量</w:t>
      </w:r>
    </w:p>
    <w:p>
      <w:pPr>
        <w:keepNext w:val="0"/>
        <w:keepLines w:val="0"/>
        <w:pageBreakBefore w:val="0"/>
        <w:tabs>
          <w:tab w:val="left" w:pos="0"/>
        </w:tabs>
        <w:kinsoku/>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1.优化油茶产业种植结构。</w:t>
      </w:r>
      <w:r>
        <w:rPr>
          <w:rFonts w:hint="eastAsia" w:ascii="仿宋_GB2312" w:hAnsi="仿宋_GB2312" w:eastAsia="仿宋_GB2312" w:cs="仿宋_GB2312"/>
          <w:b w:val="0"/>
          <w:bCs w:val="0"/>
          <w:color w:val="auto"/>
          <w:kern w:val="0"/>
          <w:sz w:val="32"/>
          <w:szCs w:val="32"/>
          <w:u w:val="none"/>
          <w:lang w:val="en-US" w:eastAsia="zh-CN" w:bidi="ar"/>
        </w:rPr>
        <w:t>调整油茶种植的品种结构，推广油茶科学化、标准化、规范化种植。在油茶高产高效示范基地配套支持建设作业道路、电力、库房等必要生产基础设施。实施林地复垦清理、整形修枝、补植补种、嫁接良种、配方施肥等技术措施；积极推行立体循环经营，打造“油茶</w:t>
      </w:r>
      <w:r>
        <w:rPr>
          <w:rFonts w:hint="eastAsia" w:ascii="仿宋_GB2312" w:hAnsi="仿宋_GB2312" w:cs="仿宋_GB2312"/>
          <w:b w:val="0"/>
          <w:bCs w:val="0"/>
          <w:color w:val="auto"/>
          <w:kern w:val="0"/>
          <w:sz w:val="32"/>
          <w:szCs w:val="32"/>
          <w:u w:val="none"/>
          <w:lang w:val="en-US" w:eastAsia="zh-CN" w:bidi="ar"/>
        </w:rPr>
        <w:t>—</w:t>
      </w:r>
      <w:r>
        <w:rPr>
          <w:rFonts w:hint="eastAsia" w:ascii="仿宋_GB2312" w:hAnsi="仿宋_GB2312" w:eastAsia="仿宋_GB2312" w:cs="仿宋_GB2312"/>
          <w:b w:val="0"/>
          <w:bCs w:val="0"/>
          <w:color w:val="auto"/>
          <w:kern w:val="0"/>
          <w:sz w:val="32"/>
          <w:szCs w:val="32"/>
          <w:u w:val="none"/>
          <w:lang w:val="en-US" w:eastAsia="zh-CN" w:bidi="ar"/>
        </w:rPr>
        <w:t>林下种植</w:t>
      </w:r>
      <w:r>
        <w:rPr>
          <w:rFonts w:hint="eastAsia" w:ascii="仿宋_GB2312" w:hAnsi="仿宋_GB2312" w:cs="仿宋_GB2312"/>
          <w:b w:val="0"/>
          <w:bCs w:val="0"/>
          <w:color w:val="auto"/>
          <w:kern w:val="0"/>
          <w:sz w:val="32"/>
          <w:szCs w:val="32"/>
          <w:u w:val="none"/>
          <w:lang w:val="en-US" w:eastAsia="zh-CN" w:bidi="ar"/>
        </w:rPr>
        <w:t>—</w:t>
      </w:r>
      <w:r>
        <w:rPr>
          <w:rFonts w:hint="eastAsia" w:ascii="仿宋_GB2312" w:hAnsi="仿宋_GB2312" w:eastAsia="仿宋_GB2312" w:cs="仿宋_GB2312"/>
          <w:b w:val="0"/>
          <w:bCs w:val="0"/>
          <w:color w:val="auto"/>
          <w:kern w:val="0"/>
          <w:sz w:val="32"/>
          <w:szCs w:val="32"/>
          <w:u w:val="none"/>
          <w:lang w:val="en-US" w:eastAsia="zh-CN" w:bidi="ar"/>
        </w:rPr>
        <w:t>林下养殖”相结合的立体循环产业模式，套种南药、花卉、菌类，套养宜山家禽等，实现一业多赢。到2027年，完成油茶林新造34万亩以上。</w:t>
      </w:r>
      <w:r>
        <w:rPr>
          <w:rFonts w:hint="eastAsia" w:ascii="楷体_GB2312" w:hAnsi="楷体_GB2312" w:eastAsia="楷体_GB2312" w:cs="楷体_GB2312"/>
          <w:b w:val="0"/>
          <w:bCs w:val="0"/>
          <w:color w:val="auto"/>
          <w:sz w:val="32"/>
          <w:szCs w:val="32"/>
          <w:lang w:val="en-US" w:eastAsia="zh-CN"/>
        </w:rPr>
        <w:t>[市林业局牵头，市财政局、市自然资源局、市农业农村局配合，各县（区）政府（管委会）负责落实]</w:t>
      </w:r>
    </w:p>
    <w:p>
      <w:pPr>
        <w:keepNext w:val="0"/>
        <w:keepLines w:val="0"/>
        <w:pageBreakBefore w:val="0"/>
        <w:tabs>
          <w:tab w:val="left" w:pos="0"/>
        </w:tabs>
        <w:kinsoku/>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kern w:val="0"/>
          <w:sz w:val="32"/>
          <w:szCs w:val="32"/>
          <w:u w:val="none"/>
          <w:lang w:val="en-US" w:eastAsia="zh-CN" w:bidi="ar"/>
        </w:rPr>
        <w:t>2.加强油茶良种资源培育。</w:t>
      </w:r>
      <w:r>
        <w:rPr>
          <w:rFonts w:hint="eastAsia" w:ascii="仿宋_GB2312" w:hAnsi="仿宋_GB2312" w:eastAsia="仿宋_GB2312" w:cs="仿宋_GB2312"/>
          <w:b w:val="0"/>
          <w:bCs w:val="0"/>
          <w:color w:val="auto"/>
          <w:kern w:val="0"/>
          <w:sz w:val="32"/>
          <w:szCs w:val="32"/>
          <w:u w:val="none"/>
          <w:lang w:val="en-US" w:eastAsia="zh-CN" w:bidi="ar"/>
        </w:rPr>
        <w:t>充分挖掘本地油茶种质资源，积极扶持本地优良品种选育，加强油茶品种试验，完善良种繁育体系，实现河源油茶品种资源的有效保护和合理开发利用。大力推广适合我市的油茶主栽品种、配置模式和栽培技术等，主推国家或省级审（认）定的稳产高产油茶良种，如岑软系列、长林系列。加快油茶良种采穗圃、育苗基地建设，加大种苗生产</w:t>
      </w:r>
      <w:r>
        <w:rPr>
          <w:rFonts w:hint="eastAsia" w:ascii="仿宋_GB2312" w:hAnsi="仿宋_GB2312" w:eastAsia="仿宋_GB2312" w:cs="仿宋_GB2312"/>
          <w:b w:val="0"/>
          <w:bCs w:val="0"/>
          <w:color w:val="auto"/>
          <w:sz w:val="32"/>
          <w:szCs w:val="32"/>
        </w:rPr>
        <w:t>、使用</w:t>
      </w:r>
      <w:r>
        <w:rPr>
          <w:rFonts w:hint="eastAsia" w:ascii="仿宋_GB2312" w:hAnsi="仿宋_GB2312" w:cs="仿宋_GB2312"/>
          <w:b w:val="0"/>
          <w:bCs w:val="0"/>
          <w:color w:val="auto"/>
          <w:sz w:val="32"/>
          <w:szCs w:val="32"/>
          <w:lang w:eastAsia="zh-CN"/>
        </w:rPr>
        <w:t>环节</w:t>
      </w:r>
      <w:r>
        <w:rPr>
          <w:rFonts w:hint="eastAsia" w:ascii="仿宋_GB2312" w:hAnsi="仿宋_GB2312" w:eastAsia="仿宋_GB2312" w:cs="仿宋_GB2312"/>
          <w:b w:val="0"/>
          <w:bCs w:val="0"/>
          <w:color w:val="auto"/>
          <w:sz w:val="32"/>
          <w:szCs w:val="32"/>
        </w:rPr>
        <w:t>监管力度，提倡使用油茶良种嫁接容器苗，坚决杜绝不合格苗、实生苗用于造林，实现新造油茶林良种使用率达到100%</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到2027年</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培育油茶良种种苗基地2个</w:t>
      </w:r>
      <w:r>
        <w:rPr>
          <w:rFonts w:hint="eastAsia" w:ascii="仿宋_GB2312" w:hAnsi="仿宋_GB2312" w:eastAsia="仿宋_GB2312" w:cs="仿宋_GB2312"/>
          <w:b w:val="0"/>
          <w:bCs w:val="0"/>
          <w:color w:val="auto"/>
          <w:sz w:val="32"/>
          <w:szCs w:val="32"/>
          <w:lang w:eastAsia="zh-CN"/>
        </w:rPr>
        <w:t>以上</w:t>
      </w:r>
      <w:r>
        <w:rPr>
          <w:rFonts w:hint="eastAsia" w:ascii="仿宋_GB2312" w:hAnsi="仿宋_GB2312" w:eastAsia="仿宋_GB2312" w:cs="仿宋_GB2312"/>
          <w:b w:val="0"/>
          <w:bCs w:val="0"/>
          <w:color w:val="auto"/>
          <w:sz w:val="32"/>
          <w:szCs w:val="32"/>
        </w:rPr>
        <w:t>。加强油茶植物新品种的知识产权保护，切实维护油茶相关专利技术所有者权益。</w:t>
      </w:r>
      <w:r>
        <w:rPr>
          <w:rFonts w:hint="eastAsia" w:ascii="楷体_GB2312" w:hAnsi="楷体_GB2312" w:eastAsia="楷体_GB2312" w:cs="楷体_GB2312"/>
          <w:b w:val="0"/>
          <w:bCs w:val="0"/>
          <w:color w:val="auto"/>
          <w:sz w:val="32"/>
          <w:szCs w:val="32"/>
          <w:lang w:val="en-US" w:eastAsia="zh-CN"/>
        </w:rPr>
        <w:t>[市林业局牵头，市农业农村局配合，各县（区）政府（管委会）负责落实]</w:t>
      </w:r>
    </w:p>
    <w:p>
      <w:pPr>
        <w:keepNext w:val="0"/>
        <w:keepLines w:val="0"/>
        <w:pageBreakBefore w:val="0"/>
        <w:tabs>
          <w:tab w:val="left" w:pos="0"/>
        </w:tabs>
        <w:kinsoku/>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kern w:val="0"/>
          <w:sz w:val="32"/>
          <w:szCs w:val="32"/>
          <w:u w:val="none"/>
          <w:lang w:val="en-US" w:eastAsia="zh-CN" w:bidi="ar"/>
        </w:rPr>
        <w:t>3.培育油茶高产示范基地。</w:t>
      </w:r>
      <w:r>
        <w:rPr>
          <w:rFonts w:hint="eastAsia" w:ascii="仿宋_GB2312" w:hAnsi="仿宋_GB2312" w:eastAsia="仿宋_GB2312" w:cs="仿宋_GB2312"/>
          <w:b w:val="0"/>
          <w:bCs w:val="0"/>
          <w:color w:val="auto"/>
          <w:kern w:val="0"/>
          <w:sz w:val="32"/>
          <w:szCs w:val="32"/>
          <w:u w:val="none"/>
          <w:lang w:val="en-US" w:eastAsia="zh-CN" w:bidi="ar"/>
        </w:rPr>
        <w:t>依托中央财政油茶产业发展示范奖补项目和油茶跨县集群产业园，采取科学种植、改造措施，在良种苗木选用、技术推广、质量管</w:t>
      </w:r>
      <w:r>
        <w:rPr>
          <w:rFonts w:hint="eastAsia" w:ascii="仿宋_GB2312" w:hAnsi="仿宋_GB2312" w:eastAsia="仿宋_GB2312" w:cs="仿宋_GB2312"/>
          <w:b w:val="0"/>
          <w:bCs w:val="0"/>
          <w:color w:val="auto"/>
          <w:sz w:val="32"/>
          <w:szCs w:val="32"/>
        </w:rPr>
        <w:t>理等方面开展试点示范，支持东源、和平、龙川、紫金、连平等县打造千亩油茶高产高效示范基地，带动新造高标准油茶林建设。</w:t>
      </w:r>
      <w:r>
        <w:rPr>
          <w:rFonts w:hint="eastAsia" w:ascii="仿宋_GB2312" w:hAnsi="仿宋_GB2312" w:eastAsia="仿宋_GB2312" w:cs="仿宋_GB2312"/>
          <w:b w:val="0"/>
          <w:bCs w:val="0"/>
          <w:color w:val="auto"/>
          <w:sz w:val="32"/>
          <w:szCs w:val="32"/>
          <w:lang w:eastAsia="zh-CN"/>
        </w:rPr>
        <w:t>到</w:t>
      </w:r>
      <w:r>
        <w:rPr>
          <w:rFonts w:hint="eastAsia" w:ascii="仿宋_GB2312" w:hAnsi="仿宋_GB2312" w:eastAsia="仿宋_GB2312" w:cs="仿宋_GB2312"/>
          <w:b w:val="0"/>
          <w:bCs w:val="0"/>
          <w:color w:val="auto"/>
          <w:sz w:val="32"/>
          <w:szCs w:val="32"/>
          <w:lang w:val="en-US" w:eastAsia="zh-CN"/>
        </w:rPr>
        <w:t>2027年，培育发展</w:t>
      </w:r>
      <w:r>
        <w:rPr>
          <w:rFonts w:hint="eastAsia" w:ascii="仿宋_GB2312" w:hAnsi="仿宋_GB2312" w:eastAsia="仿宋_GB2312" w:cs="仿宋_GB2312"/>
          <w:b w:val="0"/>
          <w:bCs w:val="0"/>
          <w:color w:val="auto"/>
          <w:sz w:val="32"/>
          <w:szCs w:val="32"/>
        </w:rPr>
        <w:t>省级以上林下示范基地10家、广东省油茶林业特色产业发展基地3个。</w:t>
      </w:r>
      <w:r>
        <w:rPr>
          <w:rFonts w:hint="eastAsia" w:ascii="楷体_GB2312" w:hAnsi="楷体_GB2312" w:eastAsia="楷体_GB2312" w:cs="楷体_GB2312"/>
          <w:b w:val="0"/>
          <w:bCs w:val="0"/>
          <w:color w:val="auto"/>
          <w:sz w:val="32"/>
          <w:szCs w:val="32"/>
          <w:lang w:val="en-US" w:eastAsia="zh-CN"/>
        </w:rPr>
        <w:t>[各县（区）政府（管委会）、市林业局牵头，市自然资源局、市农业农村局配合]</w:t>
      </w:r>
    </w:p>
    <w:p>
      <w:pPr>
        <w:keepNext w:val="0"/>
        <w:keepLines w:val="0"/>
        <w:pageBreakBefore w:val="0"/>
        <w:tabs>
          <w:tab w:val="left" w:pos="0"/>
        </w:tabs>
        <w:kinsoku/>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kern w:val="0"/>
          <w:sz w:val="32"/>
          <w:szCs w:val="32"/>
          <w:u w:val="none"/>
          <w:lang w:val="en-US" w:eastAsia="zh-CN" w:bidi="ar"/>
        </w:rPr>
        <w:t>4.强化油茶林管护抚育。</w:t>
      </w:r>
      <w:r>
        <w:rPr>
          <w:rFonts w:hint="eastAsia" w:ascii="仿宋_GB2312" w:hAnsi="仿宋_GB2312" w:eastAsia="仿宋_GB2312" w:cs="仿宋_GB2312"/>
          <w:b w:val="0"/>
          <w:bCs w:val="0"/>
          <w:color w:val="auto"/>
          <w:kern w:val="0"/>
          <w:sz w:val="32"/>
          <w:szCs w:val="32"/>
          <w:u w:val="none"/>
          <w:lang w:val="en-US" w:eastAsia="zh-CN" w:bidi="ar"/>
        </w:rPr>
        <w:t>加大对品种良好、缺乏科学有效管理的油茶林培育力度，采取除草、补植、</w:t>
      </w:r>
      <w:r>
        <w:rPr>
          <w:rFonts w:hint="eastAsia" w:ascii="仿宋_GB2312" w:hAnsi="仿宋_GB2312" w:eastAsia="仿宋_GB2312" w:cs="仿宋_GB2312"/>
          <w:b w:val="0"/>
          <w:bCs w:val="0"/>
          <w:color w:val="auto"/>
          <w:sz w:val="32"/>
          <w:szCs w:val="32"/>
          <w:lang w:val="en-US" w:eastAsia="zh-CN"/>
        </w:rPr>
        <w:t>施肥、培兜、修剪、摘花等抚育管护措施，通过连续5年的高效管护抚育，促进林分成为高产油茶林，实现亩产茶油高于全国平均水平30%以上。到2027年，完成现有油茶林管护抚育20万亩。</w:t>
      </w:r>
      <w:r>
        <w:rPr>
          <w:rFonts w:hint="eastAsia" w:ascii="楷体_GB2312" w:hAnsi="楷体_GB2312" w:eastAsia="楷体_GB2312" w:cs="楷体_GB2312"/>
          <w:b w:val="0"/>
          <w:bCs w:val="0"/>
          <w:color w:val="auto"/>
          <w:sz w:val="32"/>
          <w:szCs w:val="32"/>
          <w:lang w:val="en-US" w:eastAsia="zh-CN"/>
        </w:rPr>
        <w:t>[市林业局牵头，各县（区）政府（管委会）负责落实]</w:t>
      </w:r>
      <w:r>
        <w:rPr>
          <w:rFonts w:hint="eastAsia" w:ascii="仿宋_GB2312" w:hAnsi="仿宋_GB2312" w:eastAsia="仿宋_GB2312" w:cs="仿宋_GB2312"/>
          <w:b w:val="0"/>
          <w:bCs w:val="0"/>
          <w:color w:val="auto"/>
          <w:sz w:val="32"/>
          <w:szCs w:val="32"/>
          <w:lang w:val="en-US" w:eastAsia="zh-CN"/>
        </w:rPr>
        <w:t xml:space="preserve"> </w:t>
      </w:r>
    </w:p>
    <w:p>
      <w:pPr>
        <w:keepNext w:val="0"/>
        <w:keepLines w:val="0"/>
        <w:pageBreakBefore w:val="0"/>
        <w:tabs>
          <w:tab w:val="left" w:pos="0"/>
        </w:tabs>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val="0"/>
          <w:bCs w:val="0"/>
          <w:color w:val="auto"/>
          <w:sz w:val="32"/>
          <w:szCs w:val="32"/>
          <w:lang w:val="en-US" w:eastAsia="zh-CN"/>
        </w:rPr>
        <w:t>（二）推进二产延链增效</w:t>
      </w:r>
    </w:p>
    <w:p>
      <w:pPr>
        <w:keepNext w:val="0"/>
        <w:keepLines w:val="0"/>
        <w:pageBreakBefore w:val="0"/>
        <w:tabs>
          <w:tab w:val="left" w:pos="0"/>
        </w:tabs>
        <w:kinsoku/>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kern w:val="0"/>
          <w:sz w:val="32"/>
          <w:szCs w:val="32"/>
          <w:u w:val="none"/>
          <w:lang w:val="en-US" w:eastAsia="zh-CN" w:bidi="ar"/>
        </w:rPr>
        <w:t>5.培育油茶经营主体。</w:t>
      </w:r>
      <w:r>
        <w:rPr>
          <w:rFonts w:hint="eastAsia" w:ascii="仿宋_GB2312" w:hAnsi="仿宋_GB2312" w:eastAsia="仿宋_GB2312" w:cs="仿宋_GB2312"/>
          <w:b w:val="0"/>
          <w:bCs w:val="0"/>
          <w:color w:val="auto"/>
          <w:kern w:val="0"/>
          <w:sz w:val="32"/>
          <w:szCs w:val="32"/>
          <w:u w:val="none"/>
          <w:lang w:val="en-US" w:eastAsia="zh-CN" w:bidi="ar"/>
        </w:rPr>
        <w:t>加强统筹规划，科学布局全市油茶加工企业，重点培育一批深耕智慧油茶、精深加工、生物科技等领域的大型油茶企业。在培</w:t>
      </w:r>
      <w:r>
        <w:rPr>
          <w:rFonts w:hint="eastAsia" w:ascii="仿宋_GB2312" w:hAnsi="仿宋_GB2312" w:eastAsia="仿宋_GB2312" w:cs="仿宋_GB2312"/>
          <w:b w:val="0"/>
          <w:bCs w:val="0"/>
          <w:color w:val="auto"/>
          <w:sz w:val="32"/>
          <w:szCs w:val="32"/>
          <w:lang w:val="en-US" w:eastAsia="zh-CN"/>
        </w:rPr>
        <w:t>优培强核心区油茶加工企业的基础上，在重点拓展区培育发展一批油茶加工经营主体，形成县县有示范加工基地，带动全市油茶产业健康有序发展。</w:t>
      </w:r>
      <w:r>
        <w:rPr>
          <w:rFonts w:hint="eastAsia" w:ascii="仿宋_GB2312" w:hAnsi="仿宋_GB2312" w:eastAsia="仿宋_GB2312" w:cs="仿宋_GB2312"/>
          <w:b w:val="0"/>
          <w:bCs w:val="0"/>
          <w:color w:val="auto"/>
          <w:sz w:val="32"/>
          <w:szCs w:val="32"/>
        </w:rPr>
        <w:t>到2027年</w:t>
      </w:r>
      <w:r>
        <w:rPr>
          <w:rFonts w:hint="eastAsia" w:ascii="仿宋_GB2312" w:hAnsi="仿宋_GB2312" w:eastAsia="仿宋_GB2312" w:cs="仿宋_GB2312"/>
          <w:b w:val="0"/>
          <w:bCs w:val="0"/>
          <w:color w:val="auto"/>
          <w:sz w:val="32"/>
          <w:szCs w:val="32"/>
          <w:lang w:eastAsia="zh-CN"/>
        </w:rPr>
        <w:t>，全市创建</w:t>
      </w:r>
      <w:r>
        <w:rPr>
          <w:rFonts w:hint="eastAsia" w:ascii="仿宋_GB2312" w:hAnsi="仿宋_GB2312" w:eastAsia="仿宋_GB2312" w:cs="仿宋_GB2312"/>
          <w:b w:val="0"/>
          <w:bCs w:val="0"/>
          <w:color w:val="auto"/>
          <w:sz w:val="32"/>
          <w:szCs w:val="32"/>
        </w:rPr>
        <w:t>油茶类省级以上龙头企业</w:t>
      </w:r>
      <w:r>
        <w:rPr>
          <w:rFonts w:hint="eastAsia" w:ascii="仿宋_GB2312" w:hAnsi="仿宋_GB2312" w:eastAsia="仿宋_GB2312" w:cs="仿宋_GB2312"/>
          <w:b w:val="0"/>
          <w:bCs w:val="0"/>
          <w:color w:val="auto"/>
          <w:sz w:val="32"/>
          <w:szCs w:val="32"/>
          <w:lang w:eastAsia="zh-CN"/>
        </w:rPr>
        <w:t>累计达</w:t>
      </w:r>
      <w:r>
        <w:rPr>
          <w:rFonts w:hint="eastAsia" w:ascii="仿宋_GB2312" w:hAnsi="仿宋_GB2312" w:eastAsia="仿宋_GB2312" w:cs="仿宋_GB2312"/>
          <w:b w:val="0"/>
          <w:bCs w:val="0"/>
          <w:color w:val="auto"/>
          <w:sz w:val="32"/>
          <w:szCs w:val="32"/>
        </w:rPr>
        <w:t>20家</w:t>
      </w:r>
      <w:r>
        <w:rPr>
          <w:rFonts w:hint="eastAsia" w:ascii="仿宋_GB2312" w:hAnsi="仿宋_GB2312" w:eastAsia="仿宋_GB2312" w:cs="仿宋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[市林业局、市农业农村局牵头，各县（区）政府（管委会）负责落实]</w:t>
      </w:r>
    </w:p>
    <w:p>
      <w:pPr>
        <w:keepNext w:val="0"/>
        <w:keepLines w:val="0"/>
        <w:pageBreakBefore w:val="0"/>
        <w:tabs>
          <w:tab w:val="left" w:pos="0"/>
        </w:tabs>
        <w:kinsoku/>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kern w:val="0"/>
          <w:sz w:val="32"/>
          <w:szCs w:val="32"/>
          <w:u w:val="none"/>
          <w:lang w:val="en-US" w:eastAsia="zh-CN" w:bidi="ar"/>
        </w:rPr>
        <w:t>6.加强油茶综合开发。</w:t>
      </w:r>
      <w:r>
        <w:rPr>
          <w:rFonts w:hint="eastAsia" w:ascii="仿宋_GB2312" w:hAnsi="仿宋_GB2312" w:eastAsia="仿宋_GB2312" w:cs="仿宋_GB2312"/>
          <w:b w:val="0"/>
          <w:bCs w:val="0"/>
          <w:color w:val="auto"/>
          <w:sz w:val="32"/>
          <w:szCs w:val="32"/>
          <w:lang w:val="en-US" w:eastAsia="zh-CN"/>
        </w:rPr>
        <w:t>充分挖掘油茶潜在功能，推进油茶产品多元化开发、多层次利用和多环节增值，引导加工企业开展油茶副产品综合利用，建设油茶副产品综合利用与精深加工生产线，研发茶油、化妆品、洗涤品、药品等油茶延伸系列产品，逐步健全和完善油茶产业链，提升产品附加值。鼓励企业建立油茶加工研发中心，不断开发适应市场的精深加工产品；鼓励企业引进安装先进油茶生产工艺和设备，提高油茶品质和质量等级。</w:t>
      </w:r>
      <w:r>
        <w:rPr>
          <w:rFonts w:hint="eastAsia" w:ascii="楷体_GB2312" w:hAnsi="楷体_GB2312" w:eastAsia="楷体_GB2312" w:cs="楷体_GB2312"/>
          <w:b w:val="0"/>
          <w:bCs w:val="0"/>
          <w:color w:val="auto"/>
          <w:sz w:val="32"/>
          <w:szCs w:val="32"/>
          <w:lang w:val="en-US" w:eastAsia="zh-CN"/>
        </w:rPr>
        <w:t>[市农业农村局牵头，各县（区）政府（管委会）、市科技局、市市场监督管理局、市林业局配合]</w:t>
      </w:r>
    </w:p>
    <w:p>
      <w:pPr>
        <w:keepNext w:val="0"/>
        <w:keepLines w:val="0"/>
        <w:pageBreakBefore w:val="0"/>
        <w:tabs>
          <w:tab w:val="left" w:pos="0"/>
        </w:tabs>
        <w:kinsoku/>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kern w:val="0"/>
          <w:sz w:val="32"/>
          <w:szCs w:val="32"/>
          <w:u w:val="none"/>
          <w:lang w:val="en-US" w:eastAsia="zh-CN" w:bidi="ar"/>
        </w:rPr>
        <w:t>7.健全加工配套设施。</w:t>
      </w:r>
      <w:r>
        <w:rPr>
          <w:rFonts w:hint="eastAsia" w:ascii="仿宋_GB2312" w:hAnsi="仿宋_GB2312" w:eastAsia="仿宋_GB2312" w:cs="仿宋_GB2312"/>
          <w:b w:val="0"/>
          <w:bCs w:val="0"/>
          <w:color w:val="auto"/>
          <w:sz w:val="32"/>
          <w:szCs w:val="32"/>
          <w:lang w:val="en-US" w:eastAsia="zh-CN"/>
        </w:rPr>
        <w:t>支持打造区域性油茶籽仓储流转交易中心，积极创建国家级优质油茶数字交易中心。支持油茶加工企业、专业合作社、茶果收购商在生产地建设一批油茶果初加工基地、茶籽仓储中心，配建油茶果(籽)烘干、脱壳、筛选等预处理和仓储、冷链物流等设施，就地就近加工转化，提高原料收储能力和供给保障能力，促进油茶生产与加工供应链的</w:t>
      </w:r>
      <w:r>
        <w:rPr>
          <w:rFonts w:hint="eastAsia" w:ascii="仿宋_GB2312" w:hAnsi="仿宋_GB2312" w:cs="仿宋_GB2312"/>
          <w:b w:val="0"/>
          <w:bCs w:val="0"/>
          <w:color w:val="auto"/>
          <w:sz w:val="32"/>
          <w:szCs w:val="32"/>
          <w:lang w:val="en-US" w:eastAsia="zh-CN"/>
        </w:rPr>
        <w:t>有序有效</w:t>
      </w:r>
      <w:r>
        <w:rPr>
          <w:rFonts w:hint="eastAsia" w:ascii="仿宋_GB2312" w:hAnsi="仿宋_GB2312" w:eastAsia="仿宋_GB2312" w:cs="仿宋_GB2312"/>
          <w:b w:val="0"/>
          <w:bCs w:val="0"/>
          <w:color w:val="auto"/>
          <w:sz w:val="32"/>
          <w:szCs w:val="32"/>
          <w:lang w:val="en-US" w:eastAsia="zh-CN"/>
        </w:rPr>
        <w:t>衔接。到2024年底，市油茶跨县集群产业园基本完成建设任务，核心区美林油茶生产线实现试产运营。</w:t>
      </w:r>
      <w:r>
        <w:rPr>
          <w:rFonts w:hint="eastAsia" w:ascii="楷体_GB2312" w:hAnsi="楷体_GB2312" w:eastAsia="楷体_GB2312" w:cs="楷体_GB2312"/>
          <w:b w:val="0"/>
          <w:bCs w:val="0"/>
          <w:color w:val="auto"/>
          <w:sz w:val="32"/>
          <w:szCs w:val="32"/>
          <w:lang w:val="en-US" w:eastAsia="zh-CN"/>
        </w:rPr>
        <w:t>[市农业农村局、市林业局牵头，各县（区）政府（管委会）、市发展改革局配合]</w:t>
      </w:r>
    </w:p>
    <w:p>
      <w:pPr>
        <w:keepNext w:val="0"/>
        <w:keepLines w:val="0"/>
        <w:pageBreakBefore w:val="0"/>
        <w:tabs>
          <w:tab w:val="left" w:pos="0"/>
        </w:tabs>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（三）推进三产融合提级</w:t>
      </w:r>
    </w:p>
    <w:p>
      <w:pPr>
        <w:keepNext w:val="0"/>
        <w:keepLines w:val="0"/>
        <w:pageBreakBefore w:val="0"/>
        <w:tabs>
          <w:tab w:val="left" w:pos="0"/>
        </w:tabs>
        <w:kinsoku/>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kern w:val="0"/>
          <w:sz w:val="32"/>
          <w:szCs w:val="32"/>
          <w:u w:val="none"/>
          <w:lang w:val="en-US" w:eastAsia="zh-CN" w:bidi="ar"/>
        </w:rPr>
        <w:t>8.培育产业发展新业态。</w:t>
      </w:r>
      <w:r>
        <w:rPr>
          <w:rFonts w:hint="eastAsia" w:ascii="仿宋_GB2312" w:hAnsi="仿宋_GB2312" w:eastAsia="仿宋_GB2312" w:cs="仿宋_GB2312"/>
          <w:b w:val="0"/>
          <w:bCs w:val="0"/>
          <w:color w:val="auto"/>
          <w:sz w:val="32"/>
          <w:szCs w:val="32"/>
          <w:lang w:val="en-US" w:eastAsia="zh-CN"/>
        </w:rPr>
        <w:t>聚焦“百千万工程”典型村培育，因地制宜挖掘以“油茶”为主题的旅“油”观光带，推动典型村融入区域内主导产业链建设，推进产村融合、园村一体，打造三产融合的油茶生态体验园区。鼓励企业建设农旅一体化基地和中小学生研学科普教育基地，培育一批油茶休闲农业与乡村旅游示范镇、示范点，打造一批农业休闲观光精品线路。选择适合油茶生长、基础设施条件较好、产业发展具备一定基础的地区，重点开发油茶康养度假、油茶休闲旅游等类型生态旅游产品，实施生态游憩、森林康养、自然教育等绿色基础设施建设，提升油茶产业价值链。</w:t>
      </w:r>
      <w:r>
        <w:rPr>
          <w:rFonts w:hint="eastAsia" w:ascii="楷体_GB2312" w:hAnsi="楷体_GB2312" w:eastAsia="楷体_GB2312" w:cs="楷体_GB2312"/>
          <w:b w:val="0"/>
          <w:bCs w:val="0"/>
          <w:color w:val="auto"/>
          <w:sz w:val="32"/>
          <w:szCs w:val="32"/>
          <w:lang w:val="en-US" w:eastAsia="zh-CN"/>
        </w:rPr>
        <w:t>[市文化广电旅游体育局、市农业农村局牵头，各县（区）政府（管委会）、市教育局、市乡村振兴局、市林业局配合]</w:t>
      </w:r>
    </w:p>
    <w:p>
      <w:pPr>
        <w:keepNext w:val="0"/>
        <w:keepLines w:val="0"/>
        <w:pageBreakBefore w:val="0"/>
        <w:tabs>
          <w:tab w:val="left" w:pos="0"/>
        </w:tabs>
        <w:kinsoku/>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kern w:val="0"/>
          <w:sz w:val="32"/>
          <w:szCs w:val="32"/>
          <w:u w:val="none"/>
          <w:lang w:val="en-US" w:eastAsia="zh-CN" w:bidi="ar"/>
        </w:rPr>
        <w:t>9.强化油茶产业科技支撑。</w:t>
      </w:r>
      <w:r>
        <w:rPr>
          <w:rFonts w:hint="eastAsia" w:ascii="仿宋_GB2312" w:hAnsi="仿宋_GB2312" w:eastAsia="仿宋_GB2312" w:cs="仿宋_GB2312"/>
          <w:b w:val="0"/>
          <w:bCs w:val="0"/>
          <w:color w:val="auto"/>
          <w:kern w:val="2"/>
          <w:sz w:val="32"/>
          <w:szCs w:val="32"/>
          <w:lang w:val="en-US" w:eastAsia="zh-CN" w:bidi="ar-SA"/>
        </w:rPr>
        <w:t>坚持科技先行，推动企业和省内外高校科研单位进行产学研合作，重点围绕新品及高效种植技术、食用油加工、日化用品加工等共性关键技术进行联合攻关。建立油茶科技特派员机制，加强对油茶产业技术服务。鼓励企业引进油茶生产加工科研仪器设备，改善科研条件，搭建博士工作站平台，对油茶多功能性化妆品、软胶囊及纳米口服液等进行系统科技研发和科研成果转化。加强油茶产业技术推广和培训，重点推广油茶种植“四良”（良地、良种、良法、良态）法则，实施测土配方平衡施肥、林下套种等油茶优质丰产组装配套技术，促进经营主体掌握良种培育、种植、施肥、修剪、病虫害防治及科学管理等实用技术</w:t>
      </w:r>
      <w:r>
        <w:rPr>
          <w:rFonts w:hint="eastAsia" w:ascii="仿宋_GB2312" w:hAnsi="仿宋_GB2312" w:eastAsia="仿宋_GB2312" w:cs="仿宋_GB2312"/>
          <w:b w:val="0"/>
          <w:bCs w:val="0"/>
          <w:color w:val="auto"/>
          <w:sz w:val="32"/>
          <w:szCs w:val="32"/>
          <w:lang w:val="en-US" w:eastAsia="zh-CN"/>
        </w:rPr>
        <w:t>。</w:t>
      </w:r>
      <w:r>
        <w:rPr>
          <w:rFonts w:hint="eastAsia" w:ascii="楷体_GB2312" w:hAnsi="楷体_GB2312" w:eastAsia="楷体_GB2312" w:cs="楷体_GB2312"/>
          <w:b w:val="0"/>
          <w:bCs w:val="0"/>
          <w:color w:val="auto"/>
          <w:sz w:val="32"/>
          <w:szCs w:val="32"/>
        </w:rPr>
        <w:t>[市科技局、市林业局牵头，各县（区）政府（管委会）、</w:t>
      </w:r>
      <w:r>
        <w:rPr>
          <w:rFonts w:hint="eastAsia" w:ascii="楷体_GB2312" w:hAnsi="楷体_GB2312" w:eastAsia="楷体_GB2312" w:cs="楷体_GB2312"/>
          <w:b w:val="0"/>
          <w:bCs w:val="0"/>
          <w:color w:val="auto"/>
          <w:sz w:val="32"/>
          <w:szCs w:val="32"/>
          <w:lang w:eastAsia="zh-CN"/>
        </w:rPr>
        <w:t>市人力资源社会保障局、</w:t>
      </w:r>
      <w:r>
        <w:rPr>
          <w:rFonts w:hint="eastAsia" w:ascii="楷体_GB2312" w:hAnsi="楷体_GB2312" w:eastAsia="楷体_GB2312" w:cs="楷体_GB2312"/>
          <w:b w:val="0"/>
          <w:bCs w:val="0"/>
          <w:color w:val="auto"/>
          <w:sz w:val="32"/>
          <w:szCs w:val="32"/>
        </w:rPr>
        <w:t>市农业农村局配合]</w:t>
      </w:r>
    </w:p>
    <w:p>
      <w:pPr>
        <w:keepNext w:val="0"/>
        <w:keepLines w:val="0"/>
        <w:pageBreakBefore w:val="0"/>
        <w:tabs>
          <w:tab w:val="left" w:pos="0"/>
        </w:tabs>
        <w:kinsoku/>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kern w:val="0"/>
          <w:sz w:val="32"/>
          <w:szCs w:val="32"/>
          <w:u w:val="none"/>
          <w:lang w:val="en-US" w:eastAsia="zh-CN" w:bidi="ar"/>
        </w:rPr>
        <w:t>10.推进油茶品牌建设。</w:t>
      </w:r>
      <w:r>
        <w:rPr>
          <w:rFonts w:hint="eastAsia" w:ascii="仿宋_GB2312" w:hAnsi="仿宋_GB2312" w:eastAsia="仿宋_GB2312" w:cs="仿宋_GB2312"/>
          <w:b w:val="0"/>
          <w:bCs w:val="0"/>
          <w:color w:val="auto"/>
          <w:kern w:val="2"/>
          <w:sz w:val="32"/>
          <w:szCs w:val="32"/>
          <w:lang w:val="en-US" w:eastAsia="zh-CN" w:bidi="ar-SA"/>
        </w:rPr>
        <w:t>健全油茶产品质量送检、抽检、公示和追溯制度，以质量赢市场，以市场带动全产业发展。坚持品牌引领，完善公用品牌、企业品牌、产品品牌联动发展的品牌体系，着力打造“万绿河源山茶油”区域公用品牌。支持市油茶行业协会联合企业制定茶油产品质量团体标准，鼓励油茶龙头企业和社会团体申报绿色有机地理标志等茶油产品认证，加强油茶产品知识产权保护；积极推荐优质茶油产品进驻“善融商务平台林特产品馆广东馆”，支持茶油产品认证种类中增加“森林生态标志产品”。充分发挥油茶行业协会等社会组织在推动河源油茶产业高质量发展中的重要作用，支持社会组织参与产业规划编制、标准制定、品牌建设等工作。加强品牌示范推广，充分发挥媒体力量，大力宣传河源茶油的优势特色，讲好河源油茶种植历史、独特自然条件、油品营养成分优势等品牌故事，扩大河源油茶影响力。</w:t>
      </w:r>
      <w:r>
        <w:rPr>
          <w:rFonts w:hint="eastAsia" w:ascii="楷体_GB2312" w:hAnsi="楷体_GB2312" w:eastAsia="楷体_GB2312" w:cs="楷体_GB2312"/>
          <w:b w:val="0"/>
          <w:bCs w:val="0"/>
          <w:color w:val="auto"/>
          <w:sz w:val="32"/>
          <w:szCs w:val="32"/>
        </w:rPr>
        <w:t>[市委宣传部、市</w:t>
      </w:r>
      <w:r>
        <w:rPr>
          <w:rFonts w:hint="eastAsia" w:ascii="楷体_GB2312" w:hAnsi="楷体_GB2312" w:eastAsia="楷体_GB2312" w:cs="楷体_GB2312"/>
          <w:b w:val="0"/>
          <w:bCs w:val="0"/>
          <w:color w:val="auto"/>
          <w:sz w:val="32"/>
          <w:szCs w:val="32"/>
          <w:lang w:eastAsia="zh-CN"/>
        </w:rPr>
        <w:t>市场监督管理</w:t>
      </w:r>
      <w:r>
        <w:rPr>
          <w:rFonts w:hint="eastAsia" w:ascii="楷体_GB2312" w:hAnsi="楷体_GB2312" w:eastAsia="楷体_GB2312" w:cs="楷体_GB2312"/>
          <w:b w:val="0"/>
          <w:bCs w:val="0"/>
          <w:color w:val="auto"/>
          <w:sz w:val="32"/>
          <w:szCs w:val="32"/>
        </w:rPr>
        <w:t>局、市农业农村局、市林业局牵头，各县（区）政府（管委会）配合]</w:t>
      </w:r>
    </w:p>
    <w:p>
      <w:pPr>
        <w:keepNext w:val="0"/>
        <w:keepLines w:val="0"/>
        <w:pageBreakBefore w:val="0"/>
        <w:tabs>
          <w:tab w:val="left" w:pos="0"/>
        </w:tabs>
        <w:kinsoku/>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kern w:val="0"/>
          <w:sz w:val="32"/>
          <w:szCs w:val="32"/>
          <w:u w:val="none"/>
          <w:lang w:val="en-US" w:eastAsia="zh-CN" w:bidi="ar"/>
        </w:rPr>
        <w:t>11.完善联农带农利益机制。</w:t>
      </w:r>
      <w:r>
        <w:rPr>
          <w:rFonts w:hint="eastAsia" w:ascii="仿宋_GB2312" w:hAnsi="仿宋_GB2312" w:eastAsia="仿宋_GB2312" w:cs="仿宋_GB2312"/>
          <w:b w:val="0"/>
          <w:bCs w:val="0"/>
          <w:color w:val="auto"/>
          <w:sz w:val="32"/>
          <w:szCs w:val="32"/>
        </w:rPr>
        <w:t>推广“龙头企业+合作组织+基地+农户”产业化经营模式，发展适度规模集约经营，使企业和农户成为利益共享、风险共担的经济利益共同体</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不断</w:t>
      </w:r>
      <w:r>
        <w:rPr>
          <w:rFonts w:hint="eastAsia" w:ascii="仿宋_GB2312" w:hAnsi="仿宋_GB2312" w:eastAsia="仿宋_GB2312" w:cs="仿宋_GB2312"/>
          <w:b w:val="0"/>
          <w:bCs w:val="0"/>
          <w:color w:val="auto"/>
          <w:sz w:val="32"/>
          <w:szCs w:val="32"/>
          <w:lang w:eastAsia="zh-CN"/>
        </w:rPr>
        <w:t>完善</w:t>
      </w:r>
      <w:r>
        <w:rPr>
          <w:rFonts w:hint="eastAsia" w:ascii="仿宋_GB2312" w:hAnsi="仿宋_GB2312" w:eastAsia="仿宋_GB2312" w:cs="仿宋_GB2312"/>
          <w:b w:val="0"/>
          <w:bCs w:val="0"/>
          <w:color w:val="auto"/>
          <w:sz w:val="32"/>
          <w:szCs w:val="32"/>
        </w:rPr>
        <w:t>油茶“联农带农”机制。大力实施“油茶+”工程，即“油茶+土地流转”带动农民实现以地增收，“油茶+劳务用工”实现就近就业、就地增收，“油茶+入股分红”实现财产性</w:t>
      </w:r>
      <w:r>
        <w:rPr>
          <w:rFonts w:hint="eastAsia" w:ascii="仿宋_GB2312" w:hAnsi="仿宋_GB2312" w:eastAsia="仿宋_GB2312" w:cs="仿宋_GB2312"/>
          <w:b w:val="0"/>
          <w:bCs w:val="0"/>
          <w:color w:val="auto"/>
          <w:sz w:val="32"/>
          <w:szCs w:val="32"/>
          <w:lang w:eastAsia="zh-CN"/>
        </w:rPr>
        <w:t>收入增长</w:t>
      </w:r>
      <w:r>
        <w:rPr>
          <w:rFonts w:hint="eastAsia" w:ascii="仿宋_GB2312" w:hAnsi="仿宋_GB2312" w:eastAsia="仿宋_GB2312" w:cs="仿宋_GB2312"/>
          <w:b w:val="0"/>
          <w:bCs w:val="0"/>
          <w:color w:val="auto"/>
          <w:sz w:val="32"/>
          <w:szCs w:val="32"/>
        </w:rPr>
        <w:t>，“油茶+生态护林”实现护林增收。</w:t>
      </w:r>
      <w:r>
        <w:rPr>
          <w:rFonts w:hint="eastAsia" w:ascii="楷体_GB2312" w:hAnsi="楷体_GB2312" w:eastAsia="楷体_GB2312" w:cs="楷体_GB2312"/>
          <w:b w:val="0"/>
          <w:bCs w:val="0"/>
          <w:color w:val="auto"/>
          <w:sz w:val="32"/>
          <w:szCs w:val="32"/>
        </w:rPr>
        <w:t>[各县（区）政府（管委会）牵头，市发展改革局、市自然资源局、市农业农村局、市林业局配合]</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六、保障措施</w:t>
      </w:r>
    </w:p>
    <w:p>
      <w:pPr>
        <w:pStyle w:val="2"/>
        <w:keepNext w:val="0"/>
        <w:keepLines w:val="0"/>
        <w:pageBreakBefore w:val="0"/>
        <w:widowControl w:val="0"/>
        <w:numPr>
          <w:ilvl w:val="2"/>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（一）加强组织领导。</w:t>
      </w:r>
      <w:r>
        <w:rPr>
          <w:rFonts w:hint="eastAsia" w:ascii="仿宋_GB2312" w:hAnsi="仿宋_GB2312" w:eastAsia="仿宋_GB2312" w:cs="仿宋_GB2312"/>
          <w:b w:val="0"/>
          <w:bCs w:val="0"/>
          <w:color w:val="auto"/>
          <w:kern w:val="2"/>
          <w:sz w:val="32"/>
          <w:szCs w:val="32"/>
          <w:lang w:val="en-US" w:eastAsia="zh-CN" w:bidi="ar-SA"/>
        </w:rPr>
        <w:t>市油茶发展专班要统筹全市油茶产业发展工作，协调跨部门重要事项，定期召开协调会，研究解决油茶产业发展过程中的重难点问题。各县（区）主要领导要亲自抓，分管领导要具体抓，配强油茶产业发展专班力量，建立统一、协调、高效的工作体系。把油茶新造、改造提升任务列入市、县林长巡林督查的重要内容，实行县（区）、乡镇政府主要负责同志负责制，协调落实建设任务。</w:t>
      </w:r>
      <w:r>
        <w:rPr>
          <w:rFonts w:hint="eastAsia" w:ascii="楷体_GB2312" w:hAnsi="楷体_GB2312" w:eastAsia="楷体_GB2312" w:cs="楷体_GB2312"/>
          <w:b w:val="0"/>
          <w:bCs w:val="0"/>
          <w:color w:val="auto"/>
          <w:kern w:val="2"/>
          <w:sz w:val="32"/>
          <w:szCs w:val="32"/>
          <w:lang w:val="en-US" w:eastAsia="zh-CN" w:bidi="ar-SA"/>
        </w:rPr>
        <w:t>[市林业局牵头，各县（区）政府（管委会）、各有关单位配合]</w:t>
      </w:r>
    </w:p>
    <w:p>
      <w:pPr>
        <w:keepNext w:val="0"/>
        <w:keepLines w:val="0"/>
        <w:pageBreakBefore w:val="0"/>
        <w:tabs>
          <w:tab w:val="left" w:pos="0"/>
        </w:tabs>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lang w:eastAsia="zh-CN"/>
        </w:rPr>
        <w:t>（二）加强资金支持。</w:t>
      </w:r>
      <w:r>
        <w:rPr>
          <w:rFonts w:hint="eastAsia" w:ascii="仿宋_GB2312" w:hAnsi="仿宋_GB2312" w:eastAsia="仿宋_GB2312" w:cs="仿宋_GB2312"/>
          <w:b w:val="0"/>
          <w:bCs w:val="0"/>
          <w:color w:val="auto"/>
          <w:sz w:val="32"/>
          <w:szCs w:val="32"/>
          <w:highlight w:val="none"/>
        </w:rPr>
        <w:t>完善</w:t>
      </w:r>
      <w:r>
        <w:rPr>
          <w:rFonts w:hint="eastAsia" w:ascii="仿宋_GB2312" w:hAnsi="仿宋_GB2312" w:eastAsia="仿宋_GB2312" w:cs="仿宋_GB2312"/>
          <w:b w:val="0"/>
          <w:bCs w:val="0"/>
          <w:color w:val="auto"/>
          <w:sz w:val="32"/>
          <w:szCs w:val="32"/>
        </w:rPr>
        <w:t>油茶种植支持政策，统筹</w:t>
      </w:r>
      <w:r>
        <w:rPr>
          <w:rFonts w:hint="eastAsia" w:ascii="仿宋_GB2312" w:hAnsi="仿宋_GB2312" w:eastAsia="仿宋_GB2312" w:cs="仿宋_GB2312"/>
          <w:b w:val="0"/>
          <w:bCs w:val="0"/>
          <w:color w:val="auto"/>
          <w:sz w:val="32"/>
          <w:szCs w:val="32"/>
          <w:lang w:val="en-US" w:eastAsia="zh-CN"/>
        </w:rPr>
        <w:t>用好上级</w:t>
      </w:r>
      <w:r>
        <w:rPr>
          <w:rFonts w:hint="eastAsia" w:ascii="仿宋_GB2312" w:hAnsi="仿宋_GB2312" w:eastAsia="仿宋_GB2312" w:cs="仿宋_GB2312"/>
          <w:b w:val="0"/>
          <w:bCs w:val="0"/>
          <w:color w:val="auto"/>
          <w:sz w:val="32"/>
          <w:szCs w:val="32"/>
        </w:rPr>
        <w:t>专项</w:t>
      </w:r>
      <w:r>
        <w:rPr>
          <w:rFonts w:hint="eastAsia" w:ascii="仿宋_GB2312" w:hAnsi="仿宋_GB2312" w:eastAsia="仿宋_GB2312" w:cs="仿宋_GB2312"/>
          <w:b w:val="0"/>
          <w:bCs w:val="0"/>
          <w:color w:val="auto"/>
          <w:sz w:val="32"/>
          <w:szCs w:val="32"/>
          <w:lang w:val="en-US" w:eastAsia="zh-CN"/>
        </w:rPr>
        <w:t>资金</w:t>
      </w:r>
      <w:r>
        <w:rPr>
          <w:rFonts w:hint="eastAsia" w:ascii="仿宋_GB2312" w:hAnsi="仿宋_GB2312" w:eastAsia="仿宋_GB2312" w:cs="仿宋_GB2312"/>
          <w:b w:val="0"/>
          <w:bCs w:val="0"/>
          <w:color w:val="auto"/>
          <w:sz w:val="32"/>
          <w:szCs w:val="32"/>
        </w:rPr>
        <w:t>和地方财政资金，提高油茶林新造和油茶低产低效林改造补助标准</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提高企业（农户）积极性</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highlight w:val="none"/>
        </w:rPr>
        <w:t>各县（区）要加大财政涉农资金投入和其他资金整合投入力度</w:t>
      </w:r>
      <w:r>
        <w:rPr>
          <w:rFonts w:hint="eastAsia" w:ascii="仿宋_GB2312" w:hAnsi="仿宋_GB2312" w:eastAsia="仿宋_GB2312" w:cs="仿宋_GB2312"/>
          <w:b w:val="0"/>
          <w:bCs w:val="0"/>
          <w:color w:val="auto"/>
          <w:sz w:val="32"/>
          <w:szCs w:val="32"/>
        </w:rPr>
        <w:t>，结合绿美广东生态建设，积极争取国土绿化、林分改造、森林质量精准提升等项目资金，发挥政府财政资金的引导作用，推动油茶产业发展。对市政府每年评定的具有一定规模的油茶生产加工企业、专业合作社，油茶企业新晋为国家级、省级林业龙头企业，油茶生产加工产品年销售交易额达1000万</w:t>
      </w:r>
      <w:r>
        <w:rPr>
          <w:rFonts w:hint="eastAsia" w:ascii="仿宋_GB2312" w:hAnsi="仿宋_GB2312" w:eastAsia="仿宋_GB2312" w:cs="仿宋_GB2312"/>
          <w:b w:val="0"/>
          <w:bCs w:val="0"/>
          <w:color w:val="auto"/>
          <w:sz w:val="32"/>
          <w:szCs w:val="32"/>
          <w:lang w:val="en-US" w:eastAsia="zh-CN"/>
        </w:rPr>
        <w:t>元</w:t>
      </w:r>
      <w:r>
        <w:rPr>
          <w:rFonts w:hint="eastAsia" w:ascii="仿宋_GB2312" w:hAnsi="仿宋_GB2312" w:eastAsia="仿宋_GB2312" w:cs="仿宋_GB2312"/>
          <w:b w:val="0"/>
          <w:bCs w:val="0"/>
          <w:color w:val="auto"/>
          <w:sz w:val="32"/>
          <w:szCs w:val="32"/>
        </w:rPr>
        <w:t>以上，油茶产品新评为国优、部优、省优产品等分别给予一次性补助（实施细则另行制订）。</w:t>
      </w:r>
      <w:r>
        <w:rPr>
          <w:rFonts w:hint="eastAsia" w:ascii="楷体_GB2312" w:hAnsi="楷体_GB2312" w:eastAsia="楷体_GB2312" w:cs="楷体_GB2312"/>
          <w:b w:val="0"/>
          <w:bCs w:val="0"/>
          <w:color w:val="auto"/>
          <w:sz w:val="32"/>
          <w:szCs w:val="32"/>
        </w:rPr>
        <w:t>[各县（区）政府（管委会）、市财政局牵头，</w:t>
      </w:r>
      <w:r>
        <w:rPr>
          <w:rFonts w:hint="eastAsia" w:ascii="楷体_GB2312" w:hAnsi="楷体_GB2312" w:eastAsia="楷体_GB2312" w:cs="楷体_GB2312"/>
          <w:b w:val="0"/>
          <w:bCs w:val="0"/>
          <w:color w:val="auto"/>
          <w:sz w:val="32"/>
          <w:szCs w:val="32"/>
          <w:lang w:eastAsia="zh-CN"/>
        </w:rPr>
        <w:t>市农业农村局、</w:t>
      </w:r>
      <w:r>
        <w:rPr>
          <w:rFonts w:hint="eastAsia" w:ascii="楷体_GB2312" w:hAnsi="楷体_GB2312" w:eastAsia="楷体_GB2312" w:cs="楷体_GB2312"/>
          <w:b w:val="0"/>
          <w:bCs w:val="0"/>
          <w:color w:val="auto"/>
          <w:sz w:val="32"/>
          <w:szCs w:val="32"/>
        </w:rPr>
        <w:t>市乡村振兴局、市林业局配合]</w:t>
      </w:r>
    </w:p>
    <w:p>
      <w:pPr>
        <w:keepNext w:val="0"/>
        <w:keepLines w:val="0"/>
        <w:pageBreakBefore w:val="0"/>
        <w:tabs>
          <w:tab w:val="left" w:pos="0"/>
        </w:tabs>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lang w:eastAsia="zh-CN"/>
        </w:rPr>
        <w:t>（三）加强用地保障。</w:t>
      </w:r>
      <w:r>
        <w:rPr>
          <w:rFonts w:hint="eastAsia" w:ascii="仿宋_GB2312" w:hAnsi="仿宋_GB2312" w:eastAsia="仿宋_GB2312" w:cs="仿宋_GB2312"/>
          <w:b w:val="0"/>
          <w:bCs w:val="0"/>
          <w:color w:val="auto"/>
          <w:sz w:val="32"/>
          <w:szCs w:val="32"/>
        </w:rPr>
        <w:t>用好用足现有国家政策，根据《自然资源部 国家林业和草原局关于保障油茶生产用地的通知》，做好油茶产业发展用地保障。</w:t>
      </w:r>
      <w:r>
        <w:rPr>
          <w:rFonts w:hint="eastAsia" w:ascii="仿宋_GB2312" w:hAnsi="仿宋_GB2312" w:eastAsia="仿宋_GB2312" w:cs="仿宋_GB2312"/>
          <w:b w:val="0"/>
          <w:bCs w:val="0"/>
          <w:color w:val="auto"/>
          <w:sz w:val="32"/>
          <w:szCs w:val="32"/>
          <w:lang w:eastAsia="zh-CN"/>
        </w:rPr>
        <w:t>优化林权流转程序，推动林地经营权流转，大力培育产业化龙头企业、专业大户、家庭林场、农民合作社等新型林业经营主体，积极发展多种形式的适度规模经营。</w:t>
      </w:r>
      <w:r>
        <w:rPr>
          <w:rFonts w:hint="eastAsia" w:ascii="仿宋_GB2312" w:hAnsi="仿宋_GB2312" w:eastAsia="仿宋_GB2312" w:cs="仿宋_GB2312"/>
          <w:b w:val="0"/>
          <w:bCs w:val="0"/>
          <w:color w:val="auto"/>
          <w:sz w:val="32"/>
          <w:szCs w:val="32"/>
        </w:rPr>
        <w:t>鼓励开展“油茶+N”复合经营，拓展油茶造林空间。对经营主体依法采伐林木种植油茶的，各地林业主管部门要优先安排采伐指标。对油茶生产任务量大、任务完成</w:t>
      </w:r>
      <w:r>
        <w:rPr>
          <w:rFonts w:hint="eastAsia" w:ascii="仿宋_GB2312" w:hAnsi="仿宋_GB2312" w:eastAsia="仿宋_GB2312" w:cs="仿宋_GB2312"/>
          <w:b w:val="0"/>
          <w:bCs w:val="0"/>
          <w:color w:val="auto"/>
          <w:sz w:val="32"/>
          <w:szCs w:val="32"/>
          <w:lang w:val="en-US" w:eastAsia="zh-CN"/>
        </w:rPr>
        <w:t>较</w:t>
      </w:r>
      <w:r>
        <w:rPr>
          <w:rFonts w:hint="eastAsia" w:ascii="仿宋_GB2312" w:hAnsi="仿宋_GB2312" w:eastAsia="仿宋_GB2312" w:cs="仿宋_GB2312"/>
          <w:b w:val="0"/>
          <w:bCs w:val="0"/>
          <w:color w:val="auto"/>
          <w:sz w:val="32"/>
          <w:szCs w:val="32"/>
        </w:rPr>
        <w:t>好的县</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区</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将</w:t>
      </w:r>
      <w:r>
        <w:rPr>
          <w:rFonts w:hint="eastAsia" w:ascii="仿宋_GB2312" w:hAnsi="仿宋_GB2312" w:eastAsia="仿宋_GB2312" w:cs="仿宋_GB2312"/>
          <w:b w:val="0"/>
          <w:bCs w:val="0"/>
          <w:color w:val="auto"/>
          <w:sz w:val="32"/>
          <w:szCs w:val="32"/>
        </w:rPr>
        <w:t>积极争取上级对林业用地的定额支持和倾斜。</w:t>
      </w:r>
      <w:r>
        <w:rPr>
          <w:rFonts w:hint="eastAsia" w:ascii="楷体_GB2312" w:hAnsi="楷体_GB2312" w:eastAsia="楷体_GB2312" w:cs="楷体_GB2312"/>
          <w:b w:val="0"/>
          <w:bCs w:val="0"/>
          <w:color w:val="auto"/>
          <w:sz w:val="32"/>
          <w:szCs w:val="32"/>
        </w:rPr>
        <w:t>[市林业局牵头，各县（区）政府（管委会）配合]</w:t>
      </w:r>
    </w:p>
    <w:p>
      <w:pPr>
        <w:keepNext w:val="0"/>
        <w:keepLines w:val="0"/>
        <w:pageBreakBefore w:val="0"/>
        <w:tabs>
          <w:tab w:val="left" w:pos="0"/>
        </w:tabs>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lang w:eastAsia="zh-CN"/>
        </w:rPr>
        <w:t>（四）加强金融服务。</w:t>
      </w:r>
      <w:r>
        <w:rPr>
          <w:rFonts w:hint="eastAsia" w:ascii="仿宋_GB2312" w:hAnsi="仿宋_GB2312" w:eastAsia="仿宋_GB2312" w:cs="仿宋_GB2312"/>
          <w:b w:val="0"/>
          <w:bCs w:val="0"/>
          <w:color w:val="auto"/>
          <w:sz w:val="32"/>
          <w:szCs w:val="32"/>
        </w:rPr>
        <w:t>鼓励金融机构加大对油茶产业支持力度，对油茶种植及产业转型和整合的企业、个人简化贷款审批程序，加大信贷投放力度。创新举措推动政策性金融资本支持油茶产业发展，壮大油茶产业发展资金规模。通过鼓励林农以林地入股分红、扩大金融贷款等形式，引导林农、合作社积极投入油茶新造改造。根据《广东省油茶保险实施方案》，积极引导油茶生产经营主体参加油茶保险，落实保费补贴政策。</w:t>
      </w:r>
      <w:r>
        <w:rPr>
          <w:rFonts w:hint="eastAsia" w:ascii="楷体_GB2312" w:hAnsi="楷体_GB2312" w:eastAsia="楷体_GB2312" w:cs="楷体_GB2312"/>
          <w:b w:val="0"/>
          <w:bCs w:val="0"/>
          <w:color w:val="auto"/>
          <w:sz w:val="32"/>
          <w:szCs w:val="32"/>
        </w:rPr>
        <w:t>[市金融局、市林业局、</w:t>
      </w:r>
      <w:r>
        <w:rPr>
          <w:rFonts w:hint="eastAsia" w:ascii="楷体_GB2312" w:hAnsi="楷体_GB2312" w:eastAsia="楷体_GB2312" w:cs="楷体_GB2312"/>
          <w:b w:val="0"/>
          <w:bCs w:val="0"/>
          <w:color w:val="auto"/>
          <w:sz w:val="32"/>
          <w:szCs w:val="32"/>
          <w:lang w:eastAsia="zh-CN"/>
        </w:rPr>
        <w:t>人行河源市分行</w:t>
      </w:r>
      <w:r>
        <w:rPr>
          <w:rFonts w:hint="eastAsia" w:ascii="楷体_GB2312" w:hAnsi="楷体_GB2312" w:eastAsia="楷体_GB2312" w:cs="楷体_GB2312"/>
          <w:b w:val="0"/>
          <w:bCs w:val="0"/>
          <w:color w:val="auto"/>
          <w:sz w:val="32"/>
          <w:szCs w:val="32"/>
        </w:rPr>
        <w:t>、国家金融监督管理总局河源监管分局牵头，市财政局配合]</w:t>
      </w:r>
    </w:p>
    <w:p>
      <w:pPr>
        <w:keepNext w:val="0"/>
        <w:keepLines w:val="0"/>
        <w:pageBreakBefore w:val="0"/>
        <w:kinsoku/>
        <w:overflowPunct/>
        <w:topLinePunct w:val="0"/>
        <w:autoSpaceDE/>
        <w:autoSpaceDN/>
        <w:bidi w:val="0"/>
        <w:adjustRightInd/>
        <w:snapToGrid/>
        <w:spacing w:line="560" w:lineRule="exact"/>
        <w:ind w:firstLine="480" w:firstLineChars="150"/>
        <w:textAlignment w:val="auto"/>
        <w:outlineLvl w:val="1"/>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lang w:eastAsia="zh-CN"/>
        </w:rPr>
        <w:t>（五）加强基础建设。</w:t>
      </w:r>
      <w:r>
        <w:rPr>
          <w:rFonts w:hint="eastAsia" w:ascii="仿宋_GB2312" w:hAnsi="仿宋_GB2312" w:eastAsia="仿宋_GB2312" w:cs="仿宋_GB2312"/>
          <w:b w:val="0"/>
          <w:bCs w:val="0"/>
          <w:color w:val="auto"/>
          <w:sz w:val="32"/>
          <w:szCs w:val="32"/>
        </w:rPr>
        <w:t>鼓励各地结合水利、四好农村路、农电改造等项目，统筹建设与油茶高产示范基地相连相通的水、路、电等配套基础设施。重点支持相对集中连片100亩以上油茶基地等基础设施建设，支持建设必需的生产作业道路和节水灌溉设施</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推广喷灌滴灌等高效节水技术，积极推行农业水价综合改革。</w:t>
      </w:r>
      <w:r>
        <w:rPr>
          <w:rFonts w:hint="eastAsia" w:ascii="楷体_GB2312" w:hAnsi="楷体_GB2312" w:eastAsia="楷体_GB2312" w:cs="楷体_GB2312"/>
          <w:b w:val="0"/>
          <w:bCs w:val="0"/>
          <w:color w:val="auto"/>
          <w:sz w:val="32"/>
          <w:szCs w:val="32"/>
        </w:rPr>
        <w:t>[市交通运输局、市水务局、市公路事务中心、河源供电局牵头，各县（区）政府（管委会）、市发展改革局、市财政局、市农业农村局、市乡村振兴局、市林业局配合]</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（六）加强执法监督。</w:t>
      </w:r>
      <w:r>
        <w:rPr>
          <w:rFonts w:hint="eastAsia" w:ascii="仿宋_GB2312" w:hAnsi="仿宋_GB2312" w:eastAsia="仿宋_GB2312" w:cs="仿宋_GB2312"/>
          <w:b w:val="0"/>
          <w:bCs w:val="0"/>
          <w:color w:val="auto"/>
          <w:sz w:val="32"/>
          <w:szCs w:val="32"/>
        </w:rPr>
        <w:t>加强对油茶良种苗木、产地环境、产品加工和市场流通各环节的监管，严厉打击假冒伪劣种苗、油茶产品掺杂使假等非法行为。维护油茶产业生产秩序，严格落实属地责任，</w:t>
      </w:r>
      <w:r>
        <w:rPr>
          <w:rFonts w:hint="eastAsia" w:ascii="仿宋_GB2312" w:hAnsi="仿宋_GB2312" w:eastAsia="仿宋_GB2312" w:cs="仿宋_GB2312"/>
          <w:b w:val="0"/>
          <w:bCs w:val="0"/>
          <w:color w:val="auto"/>
          <w:sz w:val="32"/>
          <w:szCs w:val="32"/>
          <w:lang w:val="en-US" w:eastAsia="zh-CN"/>
        </w:rPr>
        <w:t>建立</w:t>
      </w:r>
      <w:r>
        <w:rPr>
          <w:rFonts w:hint="eastAsia" w:ascii="仿宋_GB2312" w:hAnsi="仿宋_GB2312" w:eastAsia="仿宋_GB2312" w:cs="仿宋_GB2312"/>
          <w:b w:val="0"/>
          <w:bCs w:val="0"/>
          <w:color w:val="auto"/>
          <w:sz w:val="32"/>
          <w:szCs w:val="32"/>
        </w:rPr>
        <w:t>镇、村干部管护责任制度，有序采摘油茶果，维护油茶所有者和经营者的合法权益。</w:t>
      </w:r>
      <w:r>
        <w:rPr>
          <w:rFonts w:hint="eastAsia" w:ascii="仿宋_GB2312" w:hAnsi="仿宋_GB2312" w:eastAsia="仿宋_GB2312" w:cs="仿宋_GB2312"/>
          <w:b w:val="0"/>
          <w:bCs w:val="0"/>
          <w:color w:val="auto"/>
          <w:sz w:val="32"/>
          <w:szCs w:val="32"/>
          <w:lang w:eastAsia="zh-CN"/>
        </w:rPr>
        <w:t>加大</w:t>
      </w:r>
      <w:r>
        <w:rPr>
          <w:rFonts w:hint="eastAsia" w:ascii="仿宋_GB2312" w:hAnsi="仿宋_GB2312" w:eastAsia="仿宋_GB2312" w:cs="仿宋_GB2312"/>
          <w:b w:val="0"/>
          <w:bCs w:val="0"/>
          <w:color w:val="auto"/>
          <w:sz w:val="32"/>
          <w:szCs w:val="32"/>
        </w:rPr>
        <w:t>对越界偷摘、哄抢或盗摘等破坏油茶生产秩序行为</w:t>
      </w:r>
      <w:r>
        <w:rPr>
          <w:rFonts w:hint="eastAsia" w:ascii="仿宋_GB2312" w:hAnsi="仿宋_GB2312" w:eastAsia="仿宋_GB2312" w:cs="仿宋_GB2312"/>
          <w:b w:val="0"/>
          <w:bCs w:val="0"/>
          <w:color w:val="auto"/>
          <w:sz w:val="32"/>
          <w:szCs w:val="32"/>
          <w:lang w:eastAsia="zh-CN"/>
        </w:rPr>
        <w:t>的</w:t>
      </w:r>
      <w:r>
        <w:rPr>
          <w:rFonts w:hint="eastAsia" w:ascii="仿宋_GB2312" w:hAnsi="仿宋_GB2312" w:eastAsia="仿宋_GB2312" w:cs="仿宋_GB2312"/>
          <w:b w:val="0"/>
          <w:bCs w:val="0"/>
          <w:color w:val="auto"/>
          <w:sz w:val="32"/>
          <w:szCs w:val="32"/>
        </w:rPr>
        <w:t>惩戒</w:t>
      </w:r>
      <w:r>
        <w:rPr>
          <w:rFonts w:hint="eastAsia" w:ascii="仿宋_GB2312" w:hAnsi="仿宋_GB2312" w:eastAsia="仿宋_GB2312" w:cs="仿宋_GB2312"/>
          <w:b w:val="0"/>
          <w:bCs w:val="0"/>
          <w:color w:val="auto"/>
          <w:sz w:val="32"/>
          <w:szCs w:val="32"/>
          <w:lang w:eastAsia="zh-CN"/>
        </w:rPr>
        <w:t>整治</w:t>
      </w:r>
      <w:r>
        <w:rPr>
          <w:rFonts w:hint="eastAsia" w:ascii="仿宋_GB2312" w:hAnsi="仿宋_GB2312" w:eastAsia="仿宋_GB2312" w:cs="仿宋_GB2312"/>
          <w:b w:val="0"/>
          <w:bCs w:val="0"/>
          <w:color w:val="auto"/>
          <w:sz w:val="32"/>
          <w:szCs w:val="32"/>
        </w:rPr>
        <w:t>力度。</w:t>
      </w:r>
      <w:r>
        <w:rPr>
          <w:rFonts w:hint="eastAsia" w:ascii="仿宋_GB2312" w:hAnsi="仿宋_GB2312" w:eastAsia="仿宋_GB2312" w:cs="仿宋_GB2312"/>
          <w:b w:val="0"/>
          <w:bCs w:val="0"/>
          <w:color w:val="auto"/>
          <w:sz w:val="32"/>
          <w:szCs w:val="32"/>
          <w:lang w:eastAsia="zh-CN"/>
        </w:rPr>
        <w:t>油茶产业协会要强化行业自律，自觉维护市场秩序。</w:t>
      </w:r>
      <w:r>
        <w:rPr>
          <w:rFonts w:hint="eastAsia" w:ascii="楷体_GB2312" w:hAnsi="楷体_GB2312" w:eastAsia="楷体_GB2312" w:cs="楷体_GB2312"/>
          <w:b w:val="0"/>
          <w:bCs w:val="0"/>
          <w:color w:val="auto"/>
          <w:kern w:val="2"/>
          <w:sz w:val="32"/>
          <w:szCs w:val="32"/>
          <w:lang w:val="en-US" w:eastAsia="zh-CN" w:bidi="ar-SA"/>
        </w:rPr>
        <w:t>[各县（区）政府（管委会）、市农业农村局、市市场监督管理局、市林业局按照职责分工落实]</w:t>
      </w:r>
    </w:p>
    <w:p>
      <w:pPr>
        <w:keepNext w:val="0"/>
        <w:keepLines w:val="0"/>
        <w:pageBreakBefore w:val="0"/>
        <w:tabs>
          <w:tab w:val="left" w:pos="0"/>
        </w:tabs>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lang w:eastAsia="zh-CN"/>
        </w:rPr>
        <w:t>（七）加强宣传引导。</w:t>
      </w:r>
      <w:r>
        <w:rPr>
          <w:rFonts w:hint="eastAsia" w:ascii="仿宋_GB2312" w:hAnsi="仿宋_GB2312" w:eastAsia="仿宋_GB2312" w:cs="仿宋_GB2312"/>
          <w:b w:val="0"/>
          <w:bCs w:val="0"/>
          <w:color w:val="auto"/>
          <w:sz w:val="32"/>
          <w:szCs w:val="32"/>
        </w:rPr>
        <w:t>支持油茶重点产地定期举办油茶文化节、油茶博览会等推介活动，重点围绕油茶产业规模、品牌培育、科技创新、市场开拓、营销推介等进行宣传，加强与电商平台合作，开展形式多样的茶油产品线上线下促销活动，推动油茶产品销售。利用电视、广播、报刊、网络等媒体，大力宣传发展油茶产业的重要意义和发展油茶产业的扶持政策，深入宣传优良品种和优质高产高效新技术，广泛宣传油茶健康绿色的独特功效，提倡健康饮食及生活方式，主动挖掘河源油茶历史底蕴，营造浓厚油茶文化氛围。</w:t>
      </w:r>
      <w:r>
        <w:rPr>
          <w:rFonts w:hint="eastAsia" w:ascii="楷体_GB2312" w:hAnsi="楷体_GB2312" w:eastAsia="楷体_GB2312" w:cs="楷体_GB2312"/>
          <w:b w:val="0"/>
          <w:bCs w:val="0"/>
          <w:color w:val="auto"/>
          <w:sz w:val="32"/>
          <w:szCs w:val="32"/>
        </w:rPr>
        <w:t>[各县（区）政府（管委会）、市委宣传部、市林业局牵头，市科技局、</w:t>
      </w:r>
      <w:r>
        <w:rPr>
          <w:rFonts w:hint="eastAsia" w:ascii="楷体_GB2312" w:hAnsi="楷体_GB2312" w:eastAsia="楷体_GB2312" w:cs="楷体_GB2312"/>
          <w:b w:val="0"/>
          <w:bCs w:val="0"/>
          <w:color w:val="auto"/>
          <w:sz w:val="32"/>
          <w:szCs w:val="32"/>
          <w:lang w:eastAsia="zh-CN"/>
        </w:rPr>
        <w:t>市农业农村局、</w:t>
      </w:r>
      <w:r>
        <w:rPr>
          <w:rFonts w:hint="eastAsia" w:ascii="楷体_GB2312" w:hAnsi="楷体_GB2312" w:eastAsia="楷体_GB2312" w:cs="楷体_GB2312"/>
          <w:b w:val="0"/>
          <w:bCs w:val="0"/>
          <w:color w:val="auto"/>
          <w:sz w:val="32"/>
          <w:szCs w:val="32"/>
        </w:rPr>
        <w:t>市卫生健康局、</w:t>
      </w:r>
      <w:r>
        <w:rPr>
          <w:rFonts w:hint="eastAsia" w:ascii="楷体_GB2312" w:hAnsi="楷体_GB2312" w:eastAsia="楷体_GB2312" w:cs="楷体_GB2312"/>
          <w:b w:val="0"/>
          <w:bCs w:val="0"/>
          <w:color w:val="auto"/>
          <w:sz w:val="32"/>
          <w:szCs w:val="32"/>
          <w:lang w:eastAsia="zh-CN"/>
        </w:rPr>
        <w:t>市市场监督管理局</w:t>
      </w:r>
      <w:r>
        <w:rPr>
          <w:rFonts w:hint="eastAsia" w:ascii="楷体_GB2312" w:hAnsi="楷体_GB2312" w:eastAsia="楷体_GB2312" w:cs="楷体_GB2312"/>
          <w:b w:val="0"/>
          <w:bCs w:val="0"/>
          <w:color w:val="auto"/>
          <w:sz w:val="32"/>
          <w:szCs w:val="32"/>
        </w:rPr>
        <w:t>、市乡村振兴局配合]</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lang w:eastAsia="zh-CN"/>
        </w:rPr>
        <w:t>（八）加强</w:t>
      </w:r>
      <w:r>
        <w:rPr>
          <w:rFonts w:hint="eastAsia" w:ascii="楷体_GB2312" w:hAnsi="楷体_GB2312" w:eastAsia="楷体_GB2312" w:cs="楷体_GB2312"/>
          <w:b w:val="0"/>
          <w:bCs w:val="0"/>
          <w:color w:val="auto"/>
          <w:sz w:val="32"/>
          <w:szCs w:val="32"/>
        </w:rPr>
        <w:t>督导考核。</w:t>
      </w:r>
      <w:r>
        <w:rPr>
          <w:rFonts w:hint="eastAsia" w:ascii="仿宋_GB2312" w:hAnsi="仿宋_GB2312" w:eastAsia="仿宋_GB2312" w:cs="仿宋_GB2312"/>
          <w:b w:val="0"/>
          <w:bCs w:val="0"/>
          <w:color w:val="auto"/>
          <w:sz w:val="32"/>
          <w:szCs w:val="32"/>
        </w:rPr>
        <w:t>发挥市林长制和市“百千万工程”指挥部办公室督促指导作用，加强油茶生产督导考核，在油茶造林季节实行一周一调度、每月一通报制度，对排名靠后的县（区）政府进行约谈。适时召开油茶生产工作推进会，现场考核评价油茶造林进度和质量，对标先进，查找差距。将油茶生产年度任务完成情况列入乡村振兴、林长制综合考核和联镇包片抓落实工作内容，定期通报考核结果。</w:t>
      </w:r>
      <w:r>
        <w:rPr>
          <w:rFonts w:hint="eastAsia" w:ascii="楷体_GB2312" w:hAnsi="楷体_GB2312" w:eastAsia="楷体_GB2312" w:cs="楷体_GB2312"/>
          <w:b w:val="0"/>
          <w:bCs w:val="0"/>
          <w:color w:val="auto"/>
          <w:sz w:val="32"/>
          <w:szCs w:val="32"/>
        </w:rPr>
        <w:t>[市林业局牵头，各县（区）政府（管委会）、市“百千万工程”指挥部办公室、</w:t>
      </w:r>
      <w:r>
        <w:rPr>
          <w:rFonts w:hint="eastAsia" w:ascii="楷体_GB2312" w:hAnsi="楷体_GB2312" w:eastAsia="楷体_GB2312" w:cs="楷体_GB2312"/>
          <w:b w:val="0"/>
          <w:bCs w:val="0"/>
          <w:color w:val="auto"/>
          <w:sz w:val="32"/>
          <w:szCs w:val="32"/>
          <w:lang w:eastAsia="zh-CN"/>
        </w:rPr>
        <w:t>市农业农村局、</w:t>
      </w:r>
      <w:r>
        <w:rPr>
          <w:rFonts w:hint="eastAsia" w:ascii="楷体_GB2312" w:hAnsi="楷体_GB2312" w:eastAsia="楷体_GB2312" w:cs="楷体_GB2312"/>
          <w:b w:val="0"/>
          <w:bCs w:val="0"/>
          <w:color w:val="auto"/>
          <w:sz w:val="32"/>
          <w:szCs w:val="32"/>
        </w:rPr>
        <w:t>市乡村振兴局配合]</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p>
    <w:p>
      <w:pPr>
        <w:keepNext w:val="0"/>
        <w:keepLines w:val="0"/>
        <w:pageBreakBefore w:val="0"/>
        <w:kinsoku/>
        <w:overflowPunct/>
        <w:topLinePunct w:val="0"/>
        <w:autoSpaceDE/>
        <w:autoSpaceDN/>
        <w:bidi w:val="0"/>
        <w:adjustRightInd/>
        <w:snapToGrid/>
        <w:spacing w:line="560" w:lineRule="exact"/>
        <w:ind w:left="1920" w:leftChars="200" w:hanging="1280" w:hangingChars="400"/>
        <w:textAlignment w:val="auto"/>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z w:val="32"/>
          <w:szCs w:val="32"/>
        </w:rPr>
        <w:t>附件：</w:t>
      </w:r>
      <w:r>
        <w:rPr>
          <w:rFonts w:hint="eastAsia" w:ascii="仿宋_GB2312" w:hAnsi="仿宋_GB2312" w:eastAsia="仿宋_GB2312" w:cs="仿宋_GB2312"/>
          <w:b w:val="0"/>
          <w:bCs w:val="0"/>
          <w:color w:val="auto"/>
          <w:spacing w:val="0"/>
          <w:sz w:val="32"/>
          <w:szCs w:val="32"/>
        </w:rPr>
        <w:t>1.河源市油茶产业高质量发展任务</w:t>
      </w:r>
      <w:r>
        <w:rPr>
          <w:rFonts w:hint="eastAsia" w:ascii="仿宋_GB2312" w:hAnsi="仿宋_GB2312" w:eastAsia="仿宋_GB2312" w:cs="仿宋_GB2312"/>
          <w:b w:val="0"/>
          <w:bCs w:val="0"/>
          <w:color w:val="auto"/>
          <w:spacing w:val="0"/>
          <w:sz w:val="32"/>
          <w:szCs w:val="32"/>
          <w:lang w:eastAsia="zh-CN"/>
        </w:rPr>
        <w:t>计划</w:t>
      </w:r>
      <w:r>
        <w:rPr>
          <w:rFonts w:hint="eastAsia" w:ascii="仿宋_GB2312" w:hAnsi="仿宋_GB2312" w:eastAsia="仿宋_GB2312" w:cs="仿宋_GB2312"/>
          <w:b w:val="0"/>
          <w:bCs w:val="0"/>
          <w:color w:val="auto"/>
          <w:spacing w:val="0"/>
          <w:sz w:val="32"/>
          <w:szCs w:val="32"/>
        </w:rPr>
        <w:t>表（2023</w:t>
      </w:r>
      <w:r>
        <w:rPr>
          <w:rFonts w:hint="eastAsia" w:ascii="仿宋_GB2312" w:hAnsi="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2027年）</w:t>
      </w:r>
    </w:p>
    <w:p>
      <w:pPr>
        <w:keepNext w:val="0"/>
        <w:keepLines w:val="0"/>
        <w:pageBreakBefore w:val="0"/>
        <w:kinsoku/>
        <w:overflowPunct/>
        <w:topLinePunct w:val="0"/>
        <w:autoSpaceDE/>
        <w:autoSpaceDN/>
        <w:bidi w:val="0"/>
        <w:adjustRightInd/>
        <w:snapToGrid/>
        <w:spacing w:line="560" w:lineRule="exact"/>
        <w:ind w:left="1856" w:leftChars="468" w:hanging="358" w:hangingChars="112"/>
        <w:textAlignment w:val="auto"/>
        <w:rPr>
          <w:rFonts w:hint="eastAsia" w:ascii="宋体" w:hAnsi="宋体" w:eastAsia="仿宋_GB2312" w:cs="方正仿宋_GBK"/>
          <w:b w:val="0"/>
          <w:bCs w:val="0"/>
          <w:color w:val="auto"/>
          <w:sz w:val="32"/>
          <w:szCs w:val="32"/>
        </w:rPr>
      </w:pPr>
      <w:r>
        <w:rPr>
          <w:rFonts w:hint="eastAsia" w:ascii="仿宋_GB2312" w:hAnsi="仿宋_GB2312" w:eastAsia="仿宋_GB2312" w:cs="仿宋_GB2312"/>
          <w:b w:val="0"/>
          <w:bCs w:val="0"/>
          <w:color w:val="auto"/>
          <w:spacing w:val="0"/>
          <w:sz w:val="32"/>
          <w:szCs w:val="32"/>
        </w:rPr>
        <w:t>2.河源市油茶产业发展总体布局图</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color w:val="auto"/>
          <w:sz w:val="32"/>
          <w:szCs w:val="32"/>
        </w:rPr>
        <w:sectPr>
          <w:footerReference r:id="rId3" w:type="default"/>
          <w:pgSz w:w="11906" w:h="16838"/>
          <w:pgMar w:top="1701" w:right="1417" w:bottom="1701" w:left="1417" w:header="851" w:footer="992" w:gutter="0"/>
          <w:pgNumType w:fmt="decimal" w:start="1"/>
          <w:cols w:space="0" w:num="1"/>
          <w:rtlGutter w:val="0"/>
          <w:docGrid w:type="lines" w:linePitch="447" w:charSpace="0"/>
        </w:sectPr>
      </w:pPr>
    </w:p>
    <w:tbl>
      <w:tblPr>
        <w:tblStyle w:val="10"/>
        <w:tblW w:w="14247" w:type="dxa"/>
        <w:tblInd w:w="0" w:type="dxa"/>
        <w:tblLayout w:type="fixed"/>
        <w:tblCellMar>
          <w:top w:w="0" w:type="dxa"/>
          <w:left w:w="108" w:type="dxa"/>
          <w:bottom w:w="0" w:type="dxa"/>
          <w:right w:w="108" w:type="dxa"/>
        </w:tblCellMar>
      </w:tblPr>
      <w:tblGrid>
        <w:gridCol w:w="478"/>
        <w:gridCol w:w="950"/>
        <w:gridCol w:w="1000"/>
        <w:gridCol w:w="767"/>
        <w:gridCol w:w="667"/>
        <w:gridCol w:w="683"/>
        <w:gridCol w:w="600"/>
        <w:gridCol w:w="733"/>
        <w:gridCol w:w="550"/>
        <w:gridCol w:w="701"/>
        <w:gridCol w:w="600"/>
        <w:gridCol w:w="613"/>
        <w:gridCol w:w="737"/>
        <w:gridCol w:w="627"/>
        <w:gridCol w:w="695"/>
        <w:gridCol w:w="764"/>
        <w:gridCol w:w="491"/>
        <w:gridCol w:w="641"/>
        <w:gridCol w:w="736"/>
        <w:gridCol w:w="491"/>
        <w:gridCol w:w="723"/>
      </w:tblGrid>
      <w:tr>
        <w:tblPrEx>
          <w:tblCellMar>
            <w:top w:w="0" w:type="dxa"/>
            <w:left w:w="108" w:type="dxa"/>
            <w:bottom w:w="0" w:type="dxa"/>
            <w:right w:w="108" w:type="dxa"/>
          </w:tblCellMar>
        </w:tblPrEx>
        <w:trPr>
          <w:trHeight w:val="222" w:hRule="atLeast"/>
        </w:trPr>
        <w:tc>
          <w:tcPr>
            <w:tcW w:w="1428" w:type="dxa"/>
            <w:gridSpan w:val="2"/>
            <w:tcBorders>
              <w:top w:val="nil"/>
              <w:left w:val="nil"/>
              <w:bottom w:val="nil"/>
              <w:right w:val="nil"/>
            </w:tcBorders>
            <w:noWrap/>
            <w:vAlign w:val="center"/>
          </w:tcPr>
          <w:p>
            <w:pPr>
              <w:jc w:val="both"/>
              <w:rPr>
                <w:rFonts w:hint="eastAsia" w:ascii="方正仿宋_GBK" w:hAnsi="方正仿宋_GBK" w:eastAsia="方正仿宋_GBK" w:cs="方正仿宋_GBK"/>
                <w:b w:val="0"/>
                <w:bCs w:val="0"/>
                <w:color w:val="auto"/>
                <w:sz w:val="32"/>
                <w:szCs w:val="32"/>
              </w:rPr>
            </w:pPr>
            <w:r>
              <w:rPr>
                <w:rFonts w:hint="eastAsia" w:ascii="黑体" w:hAnsi="黑体" w:eastAsia="黑体" w:cs="黑体"/>
                <w:b w:val="0"/>
                <w:bCs w:val="0"/>
                <w:color w:val="auto"/>
                <w:kern w:val="0"/>
                <w:sz w:val="32"/>
                <w:szCs w:val="32"/>
                <w:lang w:bidi="ar"/>
              </w:rPr>
              <w:t>附件1</w:t>
            </w:r>
          </w:p>
        </w:tc>
        <w:tc>
          <w:tcPr>
            <w:tcW w:w="1000" w:type="dxa"/>
            <w:tcBorders>
              <w:top w:val="nil"/>
              <w:left w:val="nil"/>
              <w:bottom w:val="nil"/>
              <w:right w:val="nil"/>
            </w:tcBorders>
            <w:noWrap/>
            <w:vAlign w:val="center"/>
          </w:tcPr>
          <w:p>
            <w:pPr>
              <w:jc w:val="right"/>
              <w:rPr>
                <w:rFonts w:hint="eastAsia" w:ascii="方正仿宋_GBK" w:hAnsi="方正仿宋_GBK" w:eastAsia="方正仿宋_GBK" w:cs="方正仿宋_GBK"/>
                <w:b w:val="0"/>
                <w:bCs w:val="0"/>
                <w:color w:val="auto"/>
                <w:sz w:val="32"/>
                <w:szCs w:val="32"/>
              </w:rPr>
            </w:pPr>
          </w:p>
        </w:tc>
        <w:tc>
          <w:tcPr>
            <w:tcW w:w="767" w:type="dxa"/>
            <w:tcBorders>
              <w:top w:val="nil"/>
              <w:left w:val="nil"/>
              <w:bottom w:val="nil"/>
              <w:right w:val="nil"/>
            </w:tcBorders>
            <w:noWrap/>
            <w:vAlign w:val="center"/>
          </w:tcPr>
          <w:p>
            <w:pPr>
              <w:jc w:val="right"/>
              <w:rPr>
                <w:rFonts w:hint="eastAsia" w:ascii="方正仿宋_GBK" w:hAnsi="方正仿宋_GBK" w:eastAsia="方正仿宋_GBK" w:cs="方正仿宋_GBK"/>
                <w:b w:val="0"/>
                <w:bCs w:val="0"/>
                <w:color w:val="auto"/>
                <w:sz w:val="32"/>
                <w:szCs w:val="32"/>
              </w:rPr>
            </w:pPr>
          </w:p>
        </w:tc>
        <w:tc>
          <w:tcPr>
            <w:tcW w:w="667" w:type="dxa"/>
            <w:tcBorders>
              <w:top w:val="nil"/>
              <w:left w:val="nil"/>
              <w:bottom w:val="nil"/>
              <w:right w:val="nil"/>
            </w:tcBorders>
            <w:noWrap/>
            <w:vAlign w:val="center"/>
          </w:tcPr>
          <w:p>
            <w:pPr>
              <w:jc w:val="right"/>
              <w:rPr>
                <w:rFonts w:hint="eastAsia" w:ascii="方正仿宋_GBK" w:hAnsi="方正仿宋_GBK" w:eastAsia="方正仿宋_GBK" w:cs="方正仿宋_GBK"/>
                <w:b w:val="0"/>
                <w:bCs w:val="0"/>
                <w:color w:val="auto"/>
                <w:sz w:val="32"/>
                <w:szCs w:val="32"/>
              </w:rPr>
            </w:pPr>
          </w:p>
        </w:tc>
        <w:tc>
          <w:tcPr>
            <w:tcW w:w="683" w:type="dxa"/>
            <w:tcBorders>
              <w:top w:val="nil"/>
              <w:left w:val="nil"/>
              <w:bottom w:val="nil"/>
              <w:right w:val="nil"/>
            </w:tcBorders>
            <w:noWrap/>
            <w:vAlign w:val="center"/>
          </w:tcPr>
          <w:p>
            <w:pPr>
              <w:jc w:val="right"/>
              <w:rPr>
                <w:rFonts w:hint="eastAsia" w:ascii="方正仿宋_GBK" w:hAnsi="方正仿宋_GBK" w:eastAsia="方正仿宋_GBK" w:cs="方正仿宋_GBK"/>
                <w:b w:val="0"/>
                <w:bCs w:val="0"/>
                <w:color w:val="auto"/>
                <w:sz w:val="32"/>
                <w:szCs w:val="32"/>
              </w:rPr>
            </w:pPr>
          </w:p>
        </w:tc>
        <w:tc>
          <w:tcPr>
            <w:tcW w:w="600" w:type="dxa"/>
            <w:tcBorders>
              <w:top w:val="nil"/>
              <w:left w:val="nil"/>
              <w:bottom w:val="nil"/>
              <w:right w:val="nil"/>
            </w:tcBorders>
            <w:noWrap/>
            <w:vAlign w:val="center"/>
          </w:tcPr>
          <w:p>
            <w:pPr>
              <w:jc w:val="right"/>
              <w:rPr>
                <w:rFonts w:hint="eastAsia" w:ascii="方正仿宋_GBK" w:hAnsi="方正仿宋_GBK" w:eastAsia="方正仿宋_GBK" w:cs="方正仿宋_GBK"/>
                <w:b w:val="0"/>
                <w:bCs w:val="0"/>
                <w:color w:val="auto"/>
                <w:sz w:val="32"/>
                <w:szCs w:val="32"/>
              </w:rPr>
            </w:pPr>
          </w:p>
        </w:tc>
        <w:tc>
          <w:tcPr>
            <w:tcW w:w="733" w:type="dxa"/>
            <w:tcBorders>
              <w:top w:val="nil"/>
              <w:left w:val="nil"/>
              <w:bottom w:val="nil"/>
              <w:right w:val="nil"/>
            </w:tcBorders>
            <w:noWrap/>
            <w:vAlign w:val="center"/>
          </w:tcPr>
          <w:p>
            <w:pPr>
              <w:jc w:val="right"/>
              <w:rPr>
                <w:rFonts w:hint="eastAsia" w:ascii="方正仿宋_GBK" w:hAnsi="方正仿宋_GBK" w:eastAsia="方正仿宋_GBK" w:cs="方正仿宋_GBK"/>
                <w:b w:val="0"/>
                <w:bCs w:val="0"/>
                <w:color w:val="auto"/>
                <w:sz w:val="32"/>
                <w:szCs w:val="32"/>
              </w:rPr>
            </w:pPr>
          </w:p>
        </w:tc>
        <w:tc>
          <w:tcPr>
            <w:tcW w:w="550" w:type="dxa"/>
            <w:tcBorders>
              <w:top w:val="nil"/>
              <w:left w:val="nil"/>
              <w:bottom w:val="nil"/>
              <w:right w:val="nil"/>
            </w:tcBorders>
            <w:noWrap/>
            <w:vAlign w:val="center"/>
          </w:tcPr>
          <w:p>
            <w:pPr>
              <w:jc w:val="right"/>
              <w:rPr>
                <w:rFonts w:hint="eastAsia" w:ascii="方正仿宋_GBK" w:hAnsi="方正仿宋_GBK" w:eastAsia="方正仿宋_GBK" w:cs="方正仿宋_GBK"/>
                <w:b w:val="0"/>
                <w:bCs w:val="0"/>
                <w:color w:val="auto"/>
                <w:sz w:val="32"/>
                <w:szCs w:val="32"/>
              </w:rPr>
            </w:pPr>
          </w:p>
        </w:tc>
        <w:tc>
          <w:tcPr>
            <w:tcW w:w="701" w:type="dxa"/>
            <w:tcBorders>
              <w:top w:val="nil"/>
              <w:left w:val="nil"/>
              <w:bottom w:val="nil"/>
              <w:right w:val="nil"/>
            </w:tcBorders>
            <w:noWrap/>
            <w:vAlign w:val="center"/>
          </w:tcPr>
          <w:p>
            <w:pPr>
              <w:jc w:val="right"/>
              <w:rPr>
                <w:rFonts w:hint="eastAsia" w:ascii="方正仿宋_GBK" w:hAnsi="方正仿宋_GBK" w:eastAsia="方正仿宋_GBK" w:cs="方正仿宋_GBK"/>
                <w:b w:val="0"/>
                <w:bCs w:val="0"/>
                <w:color w:val="auto"/>
                <w:sz w:val="32"/>
                <w:szCs w:val="32"/>
              </w:rPr>
            </w:pPr>
          </w:p>
        </w:tc>
        <w:tc>
          <w:tcPr>
            <w:tcW w:w="600" w:type="dxa"/>
            <w:tcBorders>
              <w:top w:val="nil"/>
              <w:left w:val="nil"/>
              <w:bottom w:val="nil"/>
              <w:right w:val="nil"/>
            </w:tcBorders>
            <w:noWrap/>
            <w:vAlign w:val="center"/>
          </w:tcPr>
          <w:p>
            <w:pPr>
              <w:jc w:val="right"/>
              <w:rPr>
                <w:rFonts w:hint="eastAsia" w:ascii="方正仿宋_GBK" w:hAnsi="方正仿宋_GBK" w:eastAsia="方正仿宋_GBK" w:cs="方正仿宋_GBK"/>
                <w:b w:val="0"/>
                <w:bCs w:val="0"/>
                <w:color w:val="auto"/>
                <w:sz w:val="32"/>
                <w:szCs w:val="32"/>
              </w:rPr>
            </w:pPr>
          </w:p>
        </w:tc>
        <w:tc>
          <w:tcPr>
            <w:tcW w:w="613" w:type="dxa"/>
            <w:tcBorders>
              <w:top w:val="nil"/>
              <w:left w:val="nil"/>
              <w:bottom w:val="nil"/>
              <w:right w:val="nil"/>
            </w:tcBorders>
            <w:noWrap/>
            <w:vAlign w:val="center"/>
          </w:tcPr>
          <w:p>
            <w:pPr>
              <w:jc w:val="right"/>
              <w:rPr>
                <w:rFonts w:hint="eastAsia" w:ascii="方正仿宋_GBK" w:hAnsi="方正仿宋_GBK" w:eastAsia="方正仿宋_GBK" w:cs="方正仿宋_GBK"/>
                <w:b w:val="0"/>
                <w:bCs w:val="0"/>
                <w:color w:val="auto"/>
                <w:sz w:val="32"/>
                <w:szCs w:val="32"/>
              </w:rPr>
            </w:pPr>
          </w:p>
        </w:tc>
        <w:tc>
          <w:tcPr>
            <w:tcW w:w="737" w:type="dxa"/>
            <w:tcBorders>
              <w:top w:val="nil"/>
              <w:left w:val="nil"/>
              <w:bottom w:val="nil"/>
              <w:right w:val="nil"/>
            </w:tcBorders>
            <w:noWrap/>
            <w:vAlign w:val="center"/>
          </w:tcPr>
          <w:p>
            <w:pPr>
              <w:jc w:val="right"/>
              <w:rPr>
                <w:rFonts w:hint="eastAsia" w:ascii="方正仿宋_GBK" w:hAnsi="方正仿宋_GBK" w:eastAsia="方正仿宋_GBK" w:cs="方正仿宋_GBK"/>
                <w:b w:val="0"/>
                <w:bCs w:val="0"/>
                <w:color w:val="auto"/>
                <w:sz w:val="32"/>
                <w:szCs w:val="32"/>
              </w:rPr>
            </w:pPr>
          </w:p>
        </w:tc>
        <w:tc>
          <w:tcPr>
            <w:tcW w:w="627" w:type="dxa"/>
            <w:tcBorders>
              <w:top w:val="nil"/>
              <w:left w:val="nil"/>
              <w:bottom w:val="nil"/>
              <w:right w:val="nil"/>
            </w:tcBorders>
            <w:noWrap/>
            <w:vAlign w:val="center"/>
          </w:tcPr>
          <w:p>
            <w:pPr>
              <w:jc w:val="right"/>
              <w:rPr>
                <w:rFonts w:hint="eastAsia" w:ascii="方正仿宋_GBK" w:hAnsi="方正仿宋_GBK" w:eastAsia="方正仿宋_GBK" w:cs="方正仿宋_GBK"/>
                <w:b w:val="0"/>
                <w:bCs w:val="0"/>
                <w:color w:val="auto"/>
                <w:sz w:val="32"/>
                <w:szCs w:val="32"/>
              </w:rPr>
            </w:pPr>
          </w:p>
        </w:tc>
        <w:tc>
          <w:tcPr>
            <w:tcW w:w="695" w:type="dxa"/>
            <w:tcBorders>
              <w:top w:val="nil"/>
              <w:left w:val="nil"/>
              <w:bottom w:val="nil"/>
              <w:right w:val="nil"/>
            </w:tcBorders>
            <w:noWrap/>
            <w:vAlign w:val="center"/>
          </w:tcPr>
          <w:p>
            <w:pPr>
              <w:jc w:val="right"/>
              <w:rPr>
                <w:rFonts w:hint="eastAsia" w:ascii="方正仿宋_GBK" w:hAnsi="方正仿宋_GBK" w:eastAsia="方正仿宋_GBK" w:cs="方正仿宋_GBK"/>
                <w:b w:val="0"/>
                <w:bCs w:val="0"/>
                <w:color w:val="auto"/>
                <w:sz w:val="32"/>
                <w:szCs w:val="32"/>
              </w:rPr>
            </w:pPr>
          </w:p>
        </w:tc>
        <w:tc>
          <w:tcPr>
            <w:tcW w:w="764" w:type="dxa"/>
            <w:tcBorders>
              <w:top w:val="nil"/>
              <w:left w:val="nil"/>
              <w:bottom w:val="nil"/>
              <w:right w:val="nil"/>
            </w:tcBorders>
            <w:noWrap/>
            <w:vAlign w:val="center"/>
          </w:tcPr>
          <w:p>
            <w:pPr>
              <w:jc w:val="right"/>
              <w:rPr>
                <w:rFonts w:hint="eastAsia" w:ascii="方正仿宋_GBK" w:hAnsi="方正仿宋_GBK" w:eastAsia="方正仿宋_GBK" w:cs="方正仿宋_GBK"/>
                <w:b w:val="0"/>
                <w:bCs w:val="0"/>
                <w:color w:val="auto"/>
                <w:sz w:val="32"/>
                <w:szCs w:val="32"/>
              </w:rPr>
            </w:pPr>
          </w:p>
        </w:tc>
        <w:tc>
          <w:tcPr>
            <w:tcW w:w="491" w:type="dxa"/>
            <w:tcBorders>
              <w:top w:val="nil"/>
              <w:left w:val="nil"/>
              <w:bottom w:val="nil"/>
              <w:right w:val="nil"/>
            </w:tcBorders>
            <w:noWrap/>
            <w:vAlign w:val="center"/>
          </w:tcPr>
          <w:p>
            <w:pPr>
              <w:jc w:val="right"/>
              <w:rPr>
                <w:rFonts w:hint="eastAsia" w:ascii="方正仿宋_GBK" w:hAnsi="方正仿宋_GBK" w:eastAsia="方正仿宋_GBK" w:cs="方正仿宋_GBK"/>
                <w:b w:val="0"/>
                <w:bCs w:val="0"/>
                <w:color w:val="auto"/>
                <w:sz w:val="32"/>
                <w:szCs w:val="32"/>
              </w:rPr>
            </w:pPr>
          </w:p>
        </w:tc>
        <w:tc>
          <w:tcPr>
            <w:tcW w:w="641" w:type="dxa"/>
            <w:tcBorders>
              <w:top w:val="nil"/>
              <w:left w:val="nil"/>
              <w:bottom w:val="nil"/>
              <w:right w:val="nil"/>
            </w:tcBorders>
            <w:noWrap/>
            <w:vAlign w:val="center"/>
          </w:tcPr>
          <w:p>
            <w:pPr>
              <w:jc w:val="right"/>
              <w:rPr>
                <w:rFonts w:hint="eastAsia" w:ascii="方正仿宋_GBK" w:hAnsi="方正仿宋_GBK" w:eastAsia="方正仿宋_GBK" w:cs="方正仿宋_GBK"/>
                <w:b w:val="0"/>
                <w:bCs w:val="0"/>
                <w:color w:val="auto"/>
                <w:sz w:val="32"/>
                <w:szCs w:val="32"/>
              </w:rPr>
            </w:pPr>
          </w:p>
        </w:tc>
        <w:tc>
          <w:tcPr>
            <w:tcW w:w="736" w:type="dxa"/>
            <w:tcBorders>
              <w:top w:val="nil"/>
              <w:left w:val="nil"/>
              <w:bottom w:val="nil"/>
              <w:right w:val="nil"/>
            </w:tcBorders>
            <w:noWrap/>
            <w:vAlign w:val="center"/>
          </w:tcPr>
          <w:p>
            <w:pPr>
              <w:jc w:val="right"/>
              <w:rPr>
                <w:rFonts w:hint="eastAsia" w:ascii="方正仿宋_GBK" w:hAnsi="方正仿宋_GBK" w:eastAsia="方正仿宋_GBK" w:cs="方正仿宋_GBK"/>
                <w:b w:val="0"/>
                <w:bCs w:val="0"/>
                <w:color w:val="auto"/>
                <w:sz w:val="32"/>
                <w:szCs w:val="32"/>
              </w:rPr>
            </w:pPr>
          </w:p>
        </w:tc>
        <w:tc>
          <w:tcPr>
            <w:tcW w:w="491" w:type="dxa"/>
            <w:tcBorders>
              <w:top w:val="nil"/>
              <w:left w:val="nil"/>
              <w:bottom w:val="nil"/>
              <w:right w:val="nil"/>
            </w:tcBorders>
            <w:noWrap/>
            <w:vAlign w:val="center"/>
          </w:tcPr>
          <w:p>
            <w:pPr>
              <w:jc w:val="right"/>
              <w:rPr>
                <w:rFonts w:hint="eastAsia" w:ascii="方正仿宋_GBK" w:hAnsi="方正仿宋_GBK" w:eastAsia="方正仿宋_GBK" w:cs="方正仿宋_GBK"/>
                <w:b w:val="0"/>
                <w:bCs w:val="0"/>
                <w:color w:val="auto"/>
                <w:sz w:val="32"/>
                <w:szCs w:val="32"/>
              </w:rPr>
            </w:pPr>
          </w:p>
        </w:tc>
        <w:tc>
          <w:tcPr>
            <w:tcW w:w="723" w:type="dxa"/>
            <w:tcBorders>
              <w:top w:val="nil"/>
              <w:left w:val="nil"/>
              <w:bottom w:val="nil"/>
              <w:right w:val="nil"/>
            </w:tcBorders>
            <w:noWrap/>
            <w:vAlign w:val="center"/>
          </w:tcPr>
          <w:p>
            <w:pPr>
              <w:jc w:val="right"/>
              <w:rPr>
                <w:rFonts w:hint="eastAsia" w:ascii="方正仿宋_GBK" w:hAnsi="方正仿宋_GBK" w:eastAsia="方正仿宋_GBK" w:cs="方正仿宋_GBK"/>
                <w:b w:val="0"/>
                <w:bCs w:val="0"/>
                <w:color w:val="auto"/>
                <w:sz w:val="32"/>
                <w:szCs w:val="32"/>
              </w:rPr>
            </w:pPr>
          </w:p>
        </w:tc>
      </w:tr>
      <w:tr>
        <w:tblPrEx>
          <w:tblCellMar>
            <w:top w:w="0" w:type="dxa"/>
            <w:left w:w="108" w:type="dxa"/>
            <w:bottom w:w="0" w:type="dxa"/>
            <w:right w:w="108" w:type="dxa"/>
          </w:tblCellMar>
        </w:tblPrEx>
        <w:trPr>
          <w:trHeight w:val="540" w:hRule="atLeast"/>
        </w:trPr>
        <w:tc>
          <w:tcPr>
            <w:tcW w:w="14247" w:type="dxa"/>
            <w:gridSpan w:val="21"/>
            <w:tcBorders>
              <w:top w:val="nil"/>
              <w:left w:val="nil"/>
              <w:bottom w:val="nil"/>
              <w:right w:val="nil"/>
            </w:tcBorders>
            <w:noWrap w:val="0"/>
            <w:vAlign w:val="center"/>
          </w:tcPr>
          <w:p>
            <w:pPr>
              <w:widowControl/>
              <w:jc w:val="center"/>
              <w:textAlignment w:val="center"/>
              <w:rPr>
                <w:rFonts w:hint="eastAsia" w:ascii="方正仿宋_GBK" w:hAnsi="方正仿宋_GBK" w:eastAsia="方正仿宋_GBK" w:cs="方正仿宋_GBK"/>
                <w:b w:val="0"/>
                <w:bCs w:val="0"/>
                <w:color w:val="auto"/>
                <w:sz w:val="44"/>
                <w:szCs w:val="44"/>
              </w:rPr>
            </w:pPr>
            <w:r>
              <w:rPr>
                <w:rFonts w:hint="eastAsia" w:ascii="方正小标宋简体" w:hAnsi="方正小标宋简体" w:eastAsia="方正小标宋简体" w:cs="方正小标宋简体"/>
                <w:b w:val="0"/>
                <w:bCs w:val="0"/>
                <w:color w:val="auto"/>
                <w:kern w:val="0"/>
                <w:sz w:val="44"/>
                <w:szCs w:val="44"/>
                <w:lang w:bidi="ar"/>
              </w:rPr>
              <w:t>河源市油茶产业高质量发展任务</w:t>
            </w:r>
            <w:r>
              <w:rPr>
                <w:rStyle w:val="13"/>
                <w:rFonts w:hint="eastAsia" w:ascii="方正小标宋简体" w:hAnsi="方正小标宋简体" w:eastAsia="方正小标宋简体" w:cs="方正小标宋简体"/>
                <w:b w:val="0"/>
                <w:bCs w:val="0"/>
                <w:color w:val="auto"/>
                <w:sz w:val="44"/>
                <w:szCs w:val="44"/>
                <w:lang w:bidi="ar"/>
              </w:rPr>
              <w:t>计划表（2023-2027年）</w:t>
            </w:r>
          </w:p>
        </w:tc>
      </w:tr>
      <w:tr>
        <w:tblPrEx>
          <w:tblCellMar>
            <w:top w:w="0" w:type="dxa"/>
            <w:left w:w="108" w:type="dxa"/>
            <w:bottom w:w="0" w:type="dxa"/>
            <w:right w:w="108" w:type="dxa"/>
          </w:tblCellMar>
        </w:tblPrEx>
        <w:trPr>
          <w:trHeight w:val="250" w:hRule="atLeast"/>
        </w:trPr>
        <w:tc>
          <w:tcPr>
            <w:tcW w:w="478" w:type="dxa"/>
            <w:tcBorders>
              <w:top w:val="nil"/>
              <w:left w:val="nil"/>
              <w:bottom w:val="nil"/>
              <w:right w:val="nil"/>
            </w:tcBorders>
            <w:noWrap/>
            <w:vAlign w:val="center"/>
          </w:tcPr>
          <w:p>
            <w:pPr>
              <w:rPr>
                <w:rFonts w:hint="eastAsia" w:ascii="方正仿宋_GBK" w:hAnsi="方正仿宋_GBK" w:eastAsia="方正仿宋_GBK" w:cs="方正仿宋_GBK"/>
                <w:b w:val="0"/>
                <w:bCs w:val="0"/>
                <w:color w:val="auto"/>
                <w:sz w:val="22"/>
                <w:szCs w:val="22"/>
              </w:rPr>
            </w:pPr>
          </w:p>
        </w:tc>
        <w:tc>
          <w:tcPr>
            <w:tcW w:w="950" w:type="dxa"/>
            <w:tcBorders>
              <w:top w:val="nil"/>
              <w:left w:val="nil"/>
              <w:bottom w:val="nil"/>
              <w:right w:val="nil"/>
            </w:tcBorders>
            <w:noWrap w:val="0"/>
            <w:vAlign w:val="center"/>
          </w:tcPr>
          <w:p>
            <w:pPr>
              <w:rPr>
                <w:rFonts w:hint="eastAsia" w:ascii="方正仿宋_GBK" w:hAnsi="方正仿宋_GBK" w:eastAsia="方正仿宋_GBK" w:cs="方正仿宋_GBK"/>
                <w:b w:val="0"/>
                <w:bCs w:val="0"/>
                <w:color w:val="auto"/>
                <w:sz w:val="20"/>
                <w:szCs w:val="20"/>
              </w:rPr>
            </w:pPr>
          </w:p>
        </w:tc>
        <w:tc>
          <w:tcPr>
            <w:tcW w:w="1000" w:type="dxa"/>
            <w:tcBorders>
              <w:top w:val="nil"/>
              <w:left w:val="nil"/>
              <w:bottom w:val="nil"/>
              <w:right w:val="nil"/>
            </w:tcBorders>
            <w:noWrap w:val="0"/>
            <w:vAlign w:val="center"/>
          </w:tcPr>
          <w:p>
            <w:pPr>
              <w:rPr>
                <w:rFonts w:hint="eastAsia" w:ascii="方正仿宋_GBK" w:hAnsi="方正仿宋_GBK" w:eastAsia="方正仿宋_GBK" w:cs="方正仿宋_GBK"/>
                <w:b w:val="0"/>
                <w:bCs w:val="0"/>
                <w:color w:val="auto"/>
                <w:sz w:val="20"/>
                <w:szCs w:val="20"/>
              </w:rPr>
            </w:pPr>
          </w:p>
        </w:tc>
        <w:tc>
          <w:tcPr>
            <w:tcW w:w="767" w:type="dxa"/>
            <w:tcBorders>
              <w:top w:val="nil"/>
              <w:left w:val="nil"/>
              <w:bottom w:val="nil"/>
              <w:right w:val="nil"/>
            </w:tcBorders>
            <w:noWrap w:val="0"/>
            <w:vAlign w:val="center"/>
          </w:tcPr>
          <w:p>
            <w:pPr>
              <w:rPr>
                <w:rFonts w:hint="eastAsia" w:ascii="方正仿宋_GBK" w:hAnsi="方正仿宋_GBK" w:eastAsia="方正仿宋_GBK" w:cs="方正仿宋_GBK"/>
                <w:b w:val="0"/>
                <w:bCs w:val="0"/>
                <w:color w:val="auto"/>
                <w:sz w:val="20"/>
                <w:szCs w:val="20"/>
              </w:rPr>
            </w:pPr>
          </w:p>
        </w:tc>
        <w:tc>
          <w:tcPr>
            <w:tcW w:w="667" w:type="dxa"/>
            <w:tcBorders>
              <w:top w:val="nil"/>
              <w:left w:val="nil"/>
              <w:bottom w:val="nil"/>
              <w:right w:val="nil"/>
            </w:tcBorders>
            <w:noWrap w:val="0"/>
            <w:vAlign w:val="center"/>
          </w:tcPr>
          <w:p>
            <w:pPr>
              <w:rPr>
                <w:rFonts w:hint="eastAsia" w:ascii="方正仿宋_GBK" w:hAnsi="方正仿宋_GBK" w:eastAsia="方正仿宋_GBK" w:cs="方正仿宋_GBK"/>
                <w:b w:val="0"/>
                <w:bCs w:val="0"/>
                <w:color w:val="auto"/>
                <w:sz w:val="20"/>
                <w:szCs w:val="20"/>
              </w:rPr>
            </w:pPr>
          </w:p>
        </w:tc>
        <w:tc>
          <w:tcPr>
            <w:tcW w:w="683" w:type="dxa"/>
            <w:tcBorders>
              <w:top w:val="nil"/>
              <w:left w:val="nil"/>
              <w:bottom w:val="nil"/>
              <w:right w:val="nil"/>
            </w:tcBorders>
            <w:noWrap w:val="0"/>
            <w:vAlign w:val="center"/>
          </w:tcPr>
          <w:p>
            <w:pPr>
              <w:rPr>
                <w:rFonts w:hint="eastAsia" w:ascii="方正仿宋_GBK" w:hAnsi="方正仿宋_GBK" w:eastAsia="方正仿宋_GBK" w:cs="方正仿宋_GBK"/>
                <w:b w:val="0"/>
                <w:bCs w:val="0"/>
                <w:color w:val="auto"/>
                <w:sz w:val="20"/>
                <w:szCs w:val="20"/>
              </w:rPr>
            </w:pPr>
          </w:p>
        </w:tc>
        <w:tc>
          <w:tcPr>
            <w:tcW w:w="600" w:type="dxa"/>
            <w:tcBorders>
              <w:top w:val="nil"/>
              <w:left w:val="nil"/>
              <w:bottom w:val="nil"/>
              <w:right w:val="nil"/>
            </w:tcBorders>
            <w:noWrap w:val="0"/>
            <w:vAlign w:val="center"/>
          </w:tcPr>
          <w:p>
            <w:pPr>
              <w:rPr>
                <w:rFonts w:hint="eastAsia" w:ascii="方正仿宋_GBK" w:hAnsi="方正仿宋_GBK" w:eastAsia="方正仿宋_GBK" w:cs="方正仿宋_GBK"/>
                <w:b w:val="0"/>
                <w:bCs w:val="0"/>
                <w:color w:val="auto"/>
                <w:sz w:val="20"/>
                <w:szCs w:val="20"/>
              </w:rPr>
            </w:pPr>
          </w:p>
        </w:tc>
        <w:tc>
          <w:tcPr>
            <w:tcW w:w="733" w:type="dxa"/>
            <w:tcBorders>
              <w:top w:val="nil"/>
              <w:left w:val="nil"/>
              <w:bottom w:val="nil"/>
              <w:right w:val="nil"/>
            </w:tcBorders>
            <w:noWrap w:val="0"/>
            <w:vAlign w:val="center"/>
          </w:tcPr>
          <w:p>
            <w:pPr>
              <w:rPr>
                <w:rFonts w:hint="eastAsia" w:ascii="方正仿宋_GBK" w:hAnsi="方正仿宋_GBK" w:eastAsia="方正仿宋_GBK" w:cs="方正仿宋_GBK"/>
                <w:b w:val="0"/>
                <w:bCs w:val="0"/>
                <w:color w:val="auto"/>
                <w:sz w:val="20"/>
                <w:szCs w:val="20"/>
              </w:rPr>
            </w:pPr>
          </w:p>
        </w:tc>
        <w:tc>
          <w:tcPr>
            <w:tcW w:w="550" w:type="dxa"/>
            <w:tcBorders>
              <w:top w:val="nil"/>
              <w:left w:val="nil"/>
              <w:bottom w:val="nil"/>
              <w:right w:val="nil"/>
            </w:tcBorders>
            <w:noWrap w:val="0"/>
            <w:vAlign w:val="center"/>
          </w:tcPr>
          <w:p>
            <w:pPr>
              <w:rPr>
                <w:rFonts w:hint="eastAsia" w:ascii="方正仿宋_GBK" w:hAnsi="方正仿宋_GBK" w:eastAsia="方正仿宋_GBK" w:cs="方正仿宋_GBK"/>
                <w:b w:val="0"/>
                <w:bCs w:val="0"/>
                <w:color w:val="auto"/>
                <w:sz w:val="20"/>
                <w:szCs w:val="20"/>
              </w:rPr>
            </w:pPr>
          </w:p>
        </w:tc>
        <w:tc>
          <w:tcPr>
            <w:tcW w:w="701" w:type="dxa"/>
            <w:tcBorders>
              <w:top w:val="nil"/>
              <w:left w:val="nil"/>
              <w:bottom w:val="nil"/>
              <w:right w:val="nil"/>
            </w:tcBorders>
            <w:noWrap w:val="0"/>
            <w:vAlign w:val="center"/>
          </w:tcPr>
          <w:p>
            <w:pPr>
              <w:rPr>
                <w:rFonts w:hint="eastAsia" w:ascii="方正仿宋_GBK" w:hAnsi="方正仿宋_GBK" w:eastAsia="方正仿宋_GBK" w:cs="方正仿宋_GBK"/>
                <w:b w:val="0"/>
                <w:bCs w:val="0"/>
                <w:color w:val="auto"/>
                <w:sz w:val="20"/>
                <w:szCs w:val="20"/>
              </w:rPr>
            </w:pPr>
          </w:p>
        </w:tc>
        <w:tc>
          <w:tcPr>
            <w:tcW w:w="600" w:type="dxa"/>
            <w:tcBorders>
              <w:top w:val="nil"/>
              <w:left w:val="nil"/>
              <w:bottom w:val="nil"/>
              <w:right w:val="nil"/>
            </w:tcBorders>
            <w:noWrap w:val="0"/>
            <w:vAlign w:val="center"/>
          </w:tcPr>
          <w:p>
            <w:pPr>
              <w:rPr>
                <w:rFonts w:hint="eastAsia" w:ascii="方正仿宋_GBK" w:hAnsi="方正仿宋_GBK" w:eastAsia="方正仿宋_GBK" w:cs="方正仿宋_GBK"/>
                <w:b w:val="0"/>
                <w:bCs w:val="0"/>
                <w:color w:val="auto"/>
                <w:sz w:val="20"/>
                <w:szCs w:val="20"/>
              </w:rPr>
            </w:pPr>
          </w:p>
        </w:tc>
        <w:tc>
          <w:tcPr>
            <w:tcW w:w="613" w:type="dxa"/>
            <w:tcBorders>
              <w:top w:val="nil"/>
              <w:left w:val="nil"/>
              <w:bottom w:val="nil"/>
              <w:right w:val="nil"/>
            </w:tcBorders>
            <w:noWrap w:val="0"/>
            <w:vAlign w:val="center"/>
          </w:tcPr>
          <w:p>
            <w:pPr>
              <w:rPr>
                <w:rFonts w:hint="eastAsia" w:ascii="方正仿宋_GBK" w:hAnsi="方正仿宋_GBK" w:eastAsia="方正仿宋_GBK" w:cs="方正仿宋_GBK"/>
                <w:b w:val="0"/>
                <w:bCs w:val="0"/>
                <w:color w:val="auto"/>
                <w:sz w:val="20"/>
                <w:szCs w:val="20"/>
              </w:rPr>
            </w:pPr>
          </w:p>
        </w:tc>
        <w:tc>
          <w:tcPr>
            <w:tcW w:w="737" w:type="dxa"/>
            <w:tcBorders>
              <w:top w:val="nil"/>
              <w:left w:val="nil"/>
              <w:bottom w:val="nil"/>
              <w:right w:val="nil"/>
            </w:tcBorders>
            <w:noWrap w:val="0"/>
            <w:vAlign w:val="center"/>
          </w:tcPr>
          <w:p>
            <w:pPr>
              <w:rPr>
                <w:rFonts w:hint="eastAsia" w:ascii="方正仿宋_GBK" w:hAnsi="方正仿宋_GBK" w:eastAsia="方正仿宋_GBK" w:cs="方正仿宋_GBK"/>
                <w:b w:val="0"/>
                <w:bCs w:val="0"/>
                <w:color w:val="auto"/>
                <w:sz w:val="20"/>
                <w:szCs w:val="20"/>
              </w:rPr>
            </w:pPr>
          </w:p>
        </w:tc>
        <w:tc>
          <w:tcPr>
            <w:tcW w:w="627" w:type="dxa"/>
            <w:tcBorders>
              <w:top w:val="nil"/>
              <w:left w:val="nil"/>
              <w:bottom w:val="nil"/>
              <w:right w:val="nil"/>
            </w:tcBorders>
            <w:noWrap w:val="0"/>
            <w:vAlign w:val="center"/>
          </w:tcPr>
          <w:p>
            <w:pPr>
              <w:rPr>
                <w:rFonts w:hint="eastAsia" w:ascii="方正仿宋_GBK" w:hAnsi="方正仿宋_GBK" w:eastAsia="方正仿宋_GBK" w:cs="方正仿宋_GBK"/>
                <w:b w:val="0"/>
                <w:bCs w:val="0"/>
                <w:color w:val="auto"/>
                <w:sz w:val="20"/>
                <w:szCs w:val="20"/>
              </w:rPr>
            </w:pPr>
          </w:p>
        </w:tc>
        <w:tc>
          <w:tcPr>
            <w:tcW w:w="695" w:type="dxa"/>
            <w:tcBorders>
              <w:top w:val="nil"/>
              <w:left w:val="nil"/>
              <w:bottom w:val="nil"/>
              <w:right w:val="nil"/>
            </w:tcBorders>
            <w:noWrap w:val="0"/>
            <w:vAlign w:val="center"/>
          </w:tcPr>
          <w:p>
            <w:pPr>
              <w:rPr>
                <w:rFonts w:hint="eastAsia" w:ascii="方正仿宋_GBK" w:hAnsi="方正仿宋_GBK" w:eastAsia="方正仿宋_GBK" w:cs="方正仿宋_GBK"/>
                <w:b w:val="0"/>
                <w:bCs w:val="0"/>
                <w:color w:val="auto"/>
                <w:sz w:val="20"/>
                <w:szCs w:val="20"/>
              </w:rPr>
            </w:pPr>
          </w:p>
        </w:tc>
        <w:tc>
          <w:tcPr>
            <w:tcW w:w="764" w:type="dxa"/>
            <w:tcBorders>
              <w:top w:val="nil"/>
              <w:left w:val="nil"/>
              <w:bottom w:val="nil"/>
              <w:right w:val="nil"/>
            </w:tcBorders>
            <w:noWrap w:val="0"/>
            <w:vAlign w:val="center"/>
          </w:tcPr>
          <w:p>
            <w:pPr>
              <w:rPr>
                <w:rFonts w:hint="eastAsia" w:ascii="方正仿宋_GBK" w:hAnsi="方正仿宋_GBK" w:eastAsia="方正仿宋_GBK" w:cs="方正仿宋_GBK"/>
                <w:b w:val="0"/>
                <w:bCs w:val="0"/>
                <w:color w:val="auto"/>
                <w:sz w:val="20"/>
                <w:szCs w:val="20"/>
              </w:rPr>
            </w:pPr>
          </w:p>
        </w:tc>
        <w:tc>
          <w:tcPr>
            <w:tcW w:w="491" w:type="dxa"/>
            <w:tcBorders>
              <w:top w:val="nil"/>
              <w:left w:val="nil"/>
              <w:bottom w:val="nil"/>
              <w:right w:val="nil"/>
            </w:tcBorders>
            <w:noWrap w:val="0"/>
            <w:vAlign w:val="center"/>
          </w:tcPr>
          <w:p>
            <w:pPr>
              <w:rPr>
                <w:rFonts w:hint="eastAsia" w:ascii="方正仿宋_GBK" w:hAnsi="方正仿宋_GBK" w:eastAsia="方正仿宋_GBK" w:cs="方正仿宋_GBK"/>
                <w:b w:val="0"/>
                <w:bCs w:val="0"/>
                <w:color w:val="auto"/>
                <w:sz w:val="20"/>
                <w:szCs w:val="20"/>
              </w:rPr>
            </w:pPr>
          </w:p>
        </w:tc>
        <w:tc>
          <w:tcPr>
            <w:tcW w:w="641" w:type="dxa"/>
            <w:tcBorders>
              <w:top w:val="nil"/>
              <w:left w:val="nil"/>
              <w:bottom w:val="nil"/>
              <w:right w:val="nil"/>
            </w:tcBorders>
            <w:noWrap w:val="0"/>
            <w:vAlign w:val="center"/>
          </w:tcPr>
          <w:p>
            <w:pPr>
              <w:rPr>
                <w:rFonts w:hint="eastAsia" w:ascii="方正仿宋_GBK" w:hAnsi="方正仿宋_GBK" w:eastAsia="方正仿宋_GBK" w:cs="方正仿宋_GBK"/>
                <w:b w:val="0"/>
                <w:bCs w:val="0"/>
                <w:color w:val="auto"/>
                <w:sz w:val="20"/>
                <w:szCs w:val="20"/>
              </w:rPr>
            </w:pPr>
          </w:p>
        </w:tc>
        <w:tc>
          <w:tcPr>
            <w:tcW w:w="1950" w:type="dxa"/>
            <w:gridSpan w:val="3"/>
            <w:tcBorders>
              <w:top w:val="nil"/>
              <w:left w:val="nil"/>
              <w:bottom w:val="nil"/>
              <w:right w:val="nil"/>
            </w:tcBorders>
            <w:noWrap w:val="0"/>
            <w:vAlign w:val="center"/>
          </w:tcPr>
          <w:p>
            <w:pPr>
              <w:rPr>
                <w:rFonts w:hint="eastAsia" w:ascii="方正仿宋_GBK" w:hAnsi="方正仿宋_GBK" w:eastAsia="方正仿宋_GBK" w:cs="方正仿宋_GBK"/>
                <w:b w:val="0"/>
                <w:bCs w:val="0"/>
                <w:color w:val="auto"/>
                <w:sz w:val="20"/>
                <w:szCs w:val="20"/>
              </w:rPr>
            </w:pPr>
            <w:r>
              <w:rPr>
                <w:rFonts w:hint="eastAsia" w:ascii="宋体" w:hAnsi="宋体" w:eastAsia="仿宋_GB2312" w:cs="方正仿宋_GBK"/>
                <w:b w:val="0"/>
                <w:bCs w:val="0"/>
                <w:color w:val="auto"/>
                <w:kern w:val="0"/>
                <w:sz w:val="20"/>
                <w:szCs w:val="20"/>
                <w:lang w:bidi="ar"/>
              </w:rPr>
              <w:t>单位：万亩</w:t>
            </w:r>
          </w:p>
        </w:tc>
      </w:tr>
      <w:tr>
        <w:tblPrEx>
          <w:tblCellMar>
            <w:top w:w="0" w:type="dxa"/>
            <w:left w:w="108" w:type="dxa"/>
            <w:bottom w:w="0" w:type="dxa"/>
            <w:right w:w="108" w:type="dxa"/>
          </w:tblCellMar>
        </w:tblPrEx>
        <w:trPr>
          <w:trHeight w:val="460" w:hRule="atLeast"/>
        </w:trPr>
        <w:tc>
          <w:tcPr>
            <w:tcW w:w="4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kern w:val="0"/>
                <w:sz w:val="24"/>
                <w:szCs w:val="24"/>
                <w:lang w:bidi="ar"/>
              </w:rPr>
              <w:t>序号</w:t>
            </w:r>
          </w:p>
        </w:tc>
        <w:tc>
          <w:tcPr>
            <w:tcW w:w="9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kern w:val="0"/>
                <w:sz w:val="24"/>
                <w:szCs w:val="24"/>
                <w:lang w:bidi="ar"/>
              </w:rPr>
              <w:t>单位</w:t>
            </w:r>
          </w:p>
        </w:tc>
        <w:tc>
          <w:tcPr>
            <w:tcW w:w="10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kern w:val="0"/>
                <w:sz w:val="24"/>
                <w:szCs w:val="24"/>
                <w:lang w:bidi="ar"/>
              </w:rPr>
              <w:t>2022年末现有油茶面积</w:t>
            </w:r>
          </w:p>
        </w:tc>
        <w:tc>
          <w:tcPr>
            <w:tcW w:w="211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kern w:val="0"/>
                <w:sz w:val="24"/>
                <w:szCs w:val="24"/>
                <w:lang w:bidi="ar"/>
              </w:rPr>
              <w:t>（2023-2027年）</w:t>
            </w:r>
          </w:p>
        </w:tc>
        <w:tc>
          <w:tcPr>
            <w:tcW w:w="18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kern w:val="0"/>
                <w:sz w:val="24"/>
                <w:szCs w:val="24"/>
                <w:lang w:bidi="ar"/>
              </w:rPr>
              <w:t>2023年</w:t>
            </w:r>
          </w:p>
        </w:tc>
        <w:tc>
          <w:tcPr>
            <w:tcW w:w="191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kern w:val="0"/>
                <w:sz w:val="24"/>
                <w:szCs w:val="24"/>
                <w:lang w:bidi="ar"/>
              </w:rPr>
              <w:t>2024年</w:t>
            </w:r>
          </w:p>
        </w:tc>
        <w:tc>
          <w:tcPr>
            <w:tcW w:w="2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kern w:val="0"/>
                <w:sz w:val="24"/>
                <w:szCs w:val="24"/>
                <w:lang w:bidi="ar"/>
              </w:rPr>
              <w:t>2025年</w:t>
            </w:r>
          </w:p>
        </w:tc>
        <w:tc>
          <w:tcPr>
            <w:tcW w:w="18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kern w:val="0"/>
                <w:sz w:val="24"/>
                <w:szCs w:val="24"/>
                <w:lang w:bidi="ar"/>
              </w:rPr>
              <w:t>2026年</w:t>
            </w: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kern w:val="0"/>
                <w:sz w:val="24"/>
                <w:szCs w:val="24"/>
                <w:lang w:bidi="ar"/>
              </w:rPr>
              <w:t>2027年</w:t>
            </w:r>
          </w:p>
        </w:tc>
      </w:tr>
      <w:tr>
        <w:tblPrEx>
          <w:tblCellMar>
            <w:top w:w="0" w:type="dxa"/>
            <w:left w:w="108" w:type="dxa"/>
            <w:bottom w:w="0" w:type="dxa"/>
            <w:right w:w="108" w:type="dxa"/>
          </w:tblCellMar>
        </w:tblPrEx>
        <w:trPr>
          <w:trHeight w:val="460" w:hRule="atLeast"/>
        </w:trPr>
        <w:tc>
          <w:tcPr>
            <w:tcW w:w="4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b w:val="0"/>
                <w:bCs w:val="0"/>
                <w:color w:val="auto"/>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b w:val="0"/>
                <w:bCs w:val="0"/>
                <w:color w:val="auto"/>
                <w:sz w:val="24"/>
                <w:szCs w:val="24"/>
              </w:rPr>
            </w:pPr>
          </w:p>
        </w:tc>
        <w:tc>
          <w:tcPr>
            <w:tcW w:w="10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b w:val="0"/>
                <w:bCs w:val="0"/>
                <w:color w:val="auto"/>
                <w:sz w:val="24"/>
                <w:szCs w:val="24"/>
              </w:rPr>
            </w:pP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kern w:val="0"/>
                <w:sz w:val="24"/>
                <w:szCs w:val="24"/>
                <w:lang w:bidi="ar"/>
              </w:rPr>
              <w:t>新造</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kern w:val="0"/>
                <w:sz w:val="24"/>
                <w:szCs w:val="24"/>
                <w:lang w:bidi="ar"/>
              </w:rPr>
              <w:t>低改</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kern w:val="0"/>
                <w:sz w:val="24"/>
                <w:szCs w:val="24"/>
                <w:lang w:bidi="ar"/>
              </w:rPr>
              <w:t>抚育</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kern w:val="0"/>
                <w:sz w:val="24"/>
                <w:szCs w:val="24"/>
                <w:lang w:bidi="ar"/>
              </w:rPr>
              <w:t>新造</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kern w:val="0"/>
                <w:sz w:val="24"/>
                <w:szCs w:val="24"/>
                <w:lang w:bidi="ar"/>
              </w:rPr>
              <w:t>低改</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kern w:val="0"/>
                <w:sz w:val="24"/>
                <w:szCs w:val="24"/>
                <w:lang w:bidi="ar"/>
              </w:rPr>
              <w:t>抚育</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kern w:val="0"/>
                <w:sz w:val="24"/>
                <w:szCs w:val="24"/>
                <w:lang w:bidi="ar"/>
              </w:rPr>
              <w:t>新造</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kern w:val="0"/>
                <w:sz w:val="24"/>
                <w:szCs w:val="24"/>
                <w:lang w:bidi="ar"/>
              </w:rPr>
              <w:t>低改</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kern w:val="0"/>
                <w:sz w:val="24"/>
                <w:szCs w:val="24"/>
                <w:lang w:bidi="ar"/>
              </w:rPr>
              <w:t>抚育</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kern w:val="0"/>
                <w:sz w:val="24"/>
                <w:szCs w:val="24"/>
                <w:lang w:bidi="ar"/>
              </w:rPr>
              <w:t>新造</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kern w:val="0"/>
                <w:sz w:val="24"/>
                <w:szCs w:val="24"/>
                <w:lang w:bidi="ar"/>
              </w:rPr>
              <w:t>低改</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kern w:val="0"/>
                <w:sz w:val="24"/>
                <w:szCs w:val="24"/>
                <w:lang w:bidi="ar"/>
              </w:rPr>
              <w:t>抚育</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kern w:val="0"/>
                <w:sz w:val="24"/>
                <w:szCs w:val="24"/>
                <w:lang w:bidi="ar"/>
              </w:rPr>
              <w:t>新造</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kern w:val="0"/>
                <w:sz w:val="24"/>
                <w:szCs w:val="24"/>
                <w:lang w:bidi="ar"/>
              </w:rPr>
              <w:t>低改</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kern w:val="0"/>
                <w:sz w:val="24"/>
                <w:szCs w:val="24"/>
                <w:lang w:bidi="ar"/>
              </w:rPr>
              <w:t>抚育</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kern w:val="0"/>
                <w:sz w:val="24"/>
                <w:szCs w:val="24"/>
                <w:lang w:bidi="ar"/>
              </w:rPr>
              <w:t>新造</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kern w:val="0"/>
                <w:sz w:val="24"/>
                <w:szCs w:val="24"/>
                <w:lang w:bidi="ar"/>
              </w:rPr>
              <w:t>低改</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color w:val="auto"/>
                <w:sz w:val="24"/>
                <w:szCs w:val="24"/>
              </w:rPr>
            </w:pPr>
            <w:r>
              <w:rPr>
                <w:rFonts w:hint="eastAsia" w:ascii="黑体" w:hAnsi="黑体" w:eastAsia="黑体" w:cs="黑体"/>
                <w:b w:val="0"/>
                <w:bCs w:val="0"/>
                <w:color w:val="auto"/>
                <w:kern w:val="0"/>
                <w:sz w:val="24"/>
                <w:szCs w:val="24"/>
                <w:lang w:bidi="ar"/>
              </w:rPr>
              <w:t>抚育</w:t>
            </w:r>
          </w:p>
        </w:tc>
      </w:tr>
      <w:tr>
        <w:tblPrEx>
          <w:tblCellMar>
            <w:top w:w="0" w:type="dxa"/>
            <w:left w:w="108" w:type="dxa"/>
            <w:bottom w:w="0" w:type="dxa"/>
            <w:right w:w="108" w:type="dxa"/>
          </w:tblCellMar>
        </w:tblPrEx>
        <w:trPr>
          <w:trHeight w:val="547" w:hRule="atLeast"/>
        </w:trPr>
        <w:tc>
          <w:tcPr>
            <w:tcW w:w="1428" w:type="dxa"/>
            <w:gridSpan w:val="2"/>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全市合计</w:t>
            </w:r>
          </w:p>
        </w:tc>
        <w:tc>
          <w:tcPr>
            <w:tcW w:w="100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88.</w:t>
            </w:r>
            <w:r>
              <w:rPr>
                <w:rFonts w:hint="eastAsia" w:ascii="仿宋_GB2312" w:hAnsi="仿宋_GB2312" w:eastAsia="仿宋_GB2312" w:cs="仿宋_GB2312"/>
                <w:b w:val="0"/>
                <w:bCs w:val="0"/>
                <w:color w:val="auto"/>
                <w:kern w:val="0"/>
                <w:sz w:val="22"/>
                <w:szCs w:val="22"/>
                <w:lang w:val="en-US" w:eastAsia="zh-CN" w:bidi="ar"/>
              </w:rPr>
              <w:t>8</w:t>
            </w:r>
          </w:p>
        </w:tc>
        <w:tc>
          <w:tcPr>
            <w:tcW w:w="767"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34</w:t>
            </w:r>
          </w:p>
        </w:tc>
        <w:tc>
          <w:tcPr>
            <w:tcW w:w="667"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9</w:t>
            </w:r>
          </w:p>
        </w:tc>
        <w:tc>
          <w:tcPr>
            <w:tcW w:w="683"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20</w:t>
            </w:r>
          </w:p>
        </w:tc>
        <w:tc>
          <w:tcPr>
            <w:tcW w:w="60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10</w:t>
            </w:r>
          </w:p>
        </w:tc>
        <w:tc>
          <w:tcPr>
            <w:tcW w:w="733"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4</w:t>
            </w:r>
          </w:p>
        </w:tc>
        <w:tc>
          <w:tcPr>
            <w:tcW w:w="55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3</w:t>
            </w:r>
          </w:p>
        </w:tc>
        <w:tc>
          <w:tcPr>
            <w:tcW w:w="701"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10</w:t>
            </w:r>
          </w:p>
        </w:tc>
        <w:tc>
          <w:tcPr>
            <w:tcW w:w="60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3</w:t>
            </w:r>
          </w:p>
        </w:tc>
        <w:tc>
          <w:tcPr>
            <w:tcW w:w="613"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3</w:t>
            </w:r>
          </w:p>
        </w:tc>
        <w:tc>
          <w:tcPr>
            <w:tcW w:w="737"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10</w:t>
            </w:r>
          </w:p>
        </w:tc>
        <w:tc>
          <w:tcPr>
            <w:tcW w:w="627"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2</w:t>
            </w:r>
          </w:p>
        </w:tc>
        <w:tc>
          <w:tcPr>
            <w:tcW w:w="695"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5</w:t>
            </w:r>
          </w:p>
        </w:tc>
        <w:tc>
          <w:tcPr>
            <w:tcW w:w="764"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2</w:t>
            </w:r>
          </w:p>
        </w:tc>
        <w:tc>
          <w:tcPr>
            <w:tcW w:w="491"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sz w:val="22"/>
                <w:szCs w:val="22"/>
              </w:rPr>
            </w:pPr>
          </w:p>
        </w:tc>
        <w:tc>
          <w:tcPr>
            <w:tcW w:w="641"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5</w:t>
            </w:r>
          </w:p>
        </w:tc>
        <w:tc>
          <w:tcPr>
            <w:tcW w:w="736"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2</w:t>
            </w:r>
          </w:p>
        </w:tc>
        <w:tc>
          <w:tcPr>
            <w:tcW w:w="491"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sz w:val="22"/>
                <w:szCs w:val="22"/>
              </w:rPr>
            </w:pPr>
          </w:p>
        </w:tc>
        <w:tc>
          <w:tcPr>
            <w:tcW w:w="723"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4</w:t>
            </w:r>
          </w:p>
        </w:tc>
      </w:tr>
      <w:tr>
        <w:tblPrEx>
          <w:tblCellMar>
            <w:top w:w="0" w:type="dxa"/>
            <w:left w:w="108" w:type="dxa"/>
            <w:bottom w:w="0" w:type="dxa"/>
            <w:right w:w="108" w:type="dxa"/>
          </w:tblCellMar>
        </w:tblPrEx>
        <w:trPr>
          <w:trHeight w:val="598"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kern w:val="0"/>
                <w:sz w:val="24"/>
                <w:szCs w:val="24"/>
                <w:lang w:bidi="ar"/>
              </w:rPr>
              <w:t>1</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kern w:val="0"/>
                <w:sz w:val="24"/>
                <w:szCs w:val="24"/>
                <w:lang w:bidi="ar"/>
              </w:rPr>
              <w:t>源城区</w:t>
            </w:r>
          </w:p>
        </w:tc>
        <w:tc>
          <w:tcPr>
            <w:tcW w:w="10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0.4</w:t>
            </w:r>
          </w:p>
        </w:tc>
        <w:tc>
          <w:tcPr>
            <w:tcW w:w="7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0.48</w:t>
            </w:r>
          </w:p>
        </w:tc>
        <w:tc>
          <w:tcPr>
            <w:tcW w:w="6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sz w:val="22"/>
                <w:szCs w:val="22"/>
              </w:rPr>
            </w:pPr>
          </w:p>
        </w:tc>
        <w:tc>
          <w:tcPr>
            <w:tcW w:w="6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sz w:val="22"/>
                <w:szCs w:val="22"/>
              </w:rPr>
            </w:pPr>
          </w:p>
        </w:tc>
        <w:tc>
          <w:tcPr>
            <w:tcW w:w="6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0.2</w:t>
            </w:r>
          </w:p>
        </w:tc>
        <w:tc>
          <w:tcPr>
            <w:tcW w:w="7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sz w:val="22"/>
                <w:szCs w:val="22"/>
              </w:rPr>
            </w:pPr>
          </w:p>
        </w:tc>
        <w:tc>
          <w:tcPr>
            <w:tcW w:w="5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sz w:val="22"/>
                <w:szCs w:val="22"/>
              </w:rPr>
            </w:pPr>
          </w:p>
        </w:tc>
        <w:tc>
          <w:tcPr>
            <w:tcW w:w="7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0.2</w:t>
            </w:r>
          </w:p>
        </w:tc>
        <w:tc>
          <w:tcPr>
            <w:tcW w:w="6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sz w:val="22"/>
                <w:szCs w:val="22"/>
              </w:rPr>
            </w:pPr>
          </w:p>
        </w:tc>
        <w:tc>
          <w:tcPr>
            <w:tcW w:w="61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sz w:val="22"/>
                <w:szCs w:val="22"/>
              </w:rPr>
            </w:pPr>
          </w:p>
        </w:tc>
        <w:tc>
          <w:tcPr>
            <w:tcW w:w="73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0.08</w:t>
            </w:r>
          </w:p>
        </w:tc>
        <w:tc>
          <w:tcPr>
            <w:tcW w:w="62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sz w:val="22"/>
                <w:szCs w:val="22"/>
              </w:rPr>
            </w:pPr>
          </w:p>
        </w:tc>
        <w:tc>
          <w:tcPr>
            <w:tcW w:w="6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sz w:val="22"/>
                <w:szCs w:val="22"/>
              </w:rPr>
            </w:pPr>
          </w:p>
        </w:tc>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sz w:val="22"/>
                <w:szCs w:val="22"/>
              </w:rPr>
            </w:pPr>
          </w:p>
        </w:tc>
        <w:tc>
          <w:tcPr>
            <w:tcW w:w="4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sz w:val="22"/>
                <w:szCs w:val="22"/>
              </w:rPr>
            </w:pPr>
          </w:p>
        </w:tc>
        <w:tc>
          <w:tcPr>
            <w:tcW w:w="6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sz w:val="22"/>
                <w:szCs w:val="22"/>
              </w:rPr>
            </w:pPr>
          </w:p>
        </w:tc>
        <w:tc>
          <w:tcPr>
            <w:tcW w:w="7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sz w:val="22"/>
                <w:szCs w:val="22"/>
              </w:rPr>
            </w:pPr>
          </w:p>
        </w:tc>
        <w:tc>
          <w:tcPr>
            <w:tcW w:w="4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sz w:val="22"/>
                <w:szCs w:val="22"/>
              </w:rPr>
            </w:pPr>
          </w:p>
        </w:tc>
        <w:tc>
          <w:tcPr>
            <w:tcW w:w="72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sz w:val="22"/>
                <w:szCs w:val="22"/>
              </w:rPr>
            </w:pPr>
          </w:p>
        </w:tc>
      </w:tr>
      <w:tr>
        <w:tblPrEx>
          <w:tblCellMar>
            <w:top w:w="0" w:type="dxa"/>
            <w:left w:w="108" w:type="dxa"/>
            <w:bottom w:w="0" w:type="dxa"/>
            <w:right w:w="108" w:type="dxa"/>
          </w:tblCellMar>
        </w:tblPrEx>
        <w:trPr>
          <w:trHeight w:val="460"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2</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0"/>
                <w:sz w:val="24"/>
                <w:szCs w:val="24"/>
                <w:lang w:bidi="ar"/>
              </w:rPr>
              <w:t>东源县</w:t>
            </w:r>
          </w:p>
        </w:tc>
        <w:tc>
          <w:tcPr>
            <w:tcW w:w="10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16</w:t>
            </w:r>
          </w:p>
        </w:tc>
        <w:tc>
          <w:tcPr>
            <w:tcW w:w="7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9.33</w:t>
            </w:r>
          </w:p>
        </w:tc>
        <w:tc>
          <w:tcPr>
            <w:tcW w:w="6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1.80</w:t>
            </w:r>
          </w:p>
        </w:tc>
        <w:tc>
          <w:tcPr>
            <w:tcW w:w="6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5.24</w:t>
            </w:r>
          </w:p>
        </w:tc>
        <w:tc>
          <w:tcPr>
            <w:tcW w:w="6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2.6</w:t>
            </w:r>
          </w:p>
        </w:tc>
        <w:tc>
          <w:tcPr>
            <w:tcW w:w="7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0.8</w:t>
            </w:r>
          </w:p>
        </w:tc>
        <w:tc>
          <w:tcPr>
            <w:tcW w:w="5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0.6</w:t>
            </w:r>
          </w:p>
        </w:tc>
        <w:tc>
          <w:tcPr>
            <w:tcW w:w="7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2.6</w:t>
            </w:r>
          </w:p>
        </w:tc>
        <w:tc>
          <w:tcPr>
            <w:tcW w:w="6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0.6</w:t>
            </w:r>
          </w:p>
        </w:tc>
        <w:tc>
          <w:tcPr>
            <w:tcW w:w="61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0.9</w:t>
            </w:r>
          </w:p>
        </w:tc>
        <w:tc>
          <w:tcPr>
            <w:tcW w:w="73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2.8</w:t>
            </w:r>
          </w:p>
        </w:tc>
        <w:tc>
          <w:tcPr>
            <w:tcW w:w="62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0.4</w:t>
            </w:r>
          </w:p>
        </w:tc>
        <w:tc>
          <w:tcPr>
            <w:tcW w:w="6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1.4</w:t>
            </w:r>
          </w:p>
        </w:tc>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0.66</w:t>
            </w:r>
          </w:p>
        </w:tc>
        <w:tc>
          <w:tcPr>
            <w:tcW w:w="4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kern w:val="2"/>
                <w:sz w:val="22"/>
                <w:szCs w:val="22"/>
                <w:lang w:val="en-US" w:eastAsia="zh-CN" w:bidi="ar-SA"/>
              </w:rPr>
            </w:pPr>
          </w:p>
        </w:tc>
        <w:tc>
          <w:tcPr>
            <w:tcW w:w="6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1.4</w:t>
            </w:r>
          </w:p>
        </w:tc>
        <w:tc>
          <w:tcPr>
            <w:tcW w:w="7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0.67</w:t>
            </w:r>
          </w:p>
        </w:tc>
        <w:tc>
          <w:tcPr>
            <w:tcW w:w="4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kern w:val="2"/>
                <w:sz w:val="22"/>
                <w:szCs w:val="22"/>
                <w:lang w:val="en-US" w:eastAsia="zh-CN" w:bidi="ar-SA"/>
              </w:rPr>
            </w:pPr>
          </w:p>
        </w:tc>
        <w:tc>
          <w:tcPr>
            <w:tcW w:w="72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0.94</w:t>
            </w:r>
          </w:p>
        </w:tc>
      </w:tr>
      <w:tr>
        <w:tblPrEx>
          <w:tblCellMar>
            <w:top w:w="0" w:type="dxa"/>
            <w:left w:w="108" w:type="dxa"/>
            <w:bottom w:w="0" w:type="dxa"/>
            <w:right w:w="108" w:type="dxa"/>
          </w:tblCellMar>
        </w:tblPrEx>
        <w:trPr>
          <w:trHeight w:val="460"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3</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0"/>
                <w:sz w:val="24"/>
                <w:szCs w:val="24"/>
                <w:lang w:bidi="ar"/>
              </w:rPr>
              <w:t>和平县</w:t>
            </w:r>
          </w:p>
        </w:tc>
        <w:tc>
          <w:tcPr>
            <w:tcW w:w="10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22.8</w:t>
            </w:r>
          </w:p>
        </w:tc>
        <w:tc>
          <w:tcPr>
            <w:tcW w:w="7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8.45</w:t>
            </w:r>
          </w:p>
        </w:tc>
        <w:tc>
          <w:tcPr>
            <w:tcW w:w="6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3.85</w:t>
            </w:r>
          </w:p>
        </w:tc>
        <w:tc>
          <w:tcPr>
            <w:tcW w:w="6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6.34</w:t>
            </w:r>
          </w:p>
        </w:tc>
        <w:tc>
          <w:tcPr>
            <w:tcW w:w="6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2.5</w:t>
            </w:r>
          </w:p>
        </w:tc>
        <w:tc>
          <w:tcPr>
            <w:tcW w:w="7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1.35</w:t>
            </w:r>
          </w:p>
        </w:tc>
        <w:tc>
          <w:tcPr>
            <w:tcW w:w="5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1.6</w:t>
            </w:r>
          </w:p>
        </w:tc>
        <w:tc>
          <w:tcPr>
            <w:tcW w:w="7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2.5</w:t>
            </w:r>
          </w:p>
        </w:tc>
        <w:tc>
          <w:tcPr>
            <w:tcW w:w="6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1.5</w:t>
            </w:r>
          </w:p>
        </w:tc>
        <w:tc>
          <w:tcPr>
            <w:tcW w:w="61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0.9</w:t>
            </w:r>
          </w:p>
        </w:tc>
        <w:tc>
          <w:tcPr>
            <w:tcW w:w="73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2.5</w:t>
            </w:r>
          </w:p>
        </w:tc>
        <w:tc>
          <w:tcPr>
            <w:tcW w:w="62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1</w:t>
            </w:r>
          </w:p>
        </w:tc>
        <w:tc>
          <w:tcPr>
            <w:tcW w:w="6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1.4</w:t>
            </w:r>
          </w:p>
        </w:tc>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0.48</w:t>
            </w:r>
          </w:p>
        </w:tc>
        <w:tc>
          <w:tcPr>
            <w:tcW w:w="4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kern w:val="2"/>
                <w:sz w:val="22"/>
                <w:szCs w:val="22"/>
                <w:lang w:val="en-US" w:eastAsia="zh-CN" w:bidi="ar-SA"/>
              </w:rPr>
            </w:pPr>
          </w:p>
        </w:tc>
        <w:tc>
          <w:tcPr>
            <w:tcW w:w="6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1.4</w:t>
            </w:r>
          </w:p>
        </w:tc>
        <w:tc>
          <w:tcPr>
            <w:tcW w:w="7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0.47</w:t>
            </w:r>
          </w:p>
        </w:tc>
        <w:tc>
          <w:tcPr>
            <w:tcW w:w="4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kern w:val="2"/>
                <w:sz w:val="22"/>
                <w:szCs w:val="22"/>
                <w:lang w:val="en-US" w:eastAsia="zh-CN" w:bidi="ar-SA"/>
              </w:rPr>
            </w:pPr>
          </w:p>
        </w:tc>
        <w:tc>
          <w:tcPr>
            <w:tcW w:w="72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1.04</w:t>
            </w:r>
          </w:p>
        </w:tc>
      </w:tr>
      <w:tr>
        <w:tblPrEx>
          <w:tblCellMar>
            <w:top w:w="0" w:type="dxa"/>
            <w:left w:w="108" w:type="dxa"/>
            <w:bottom w:w="0" w:type="dxa"/>
            <w:right w:w="108" w:type="dxa"/>
          </w:tblCellMar>
        </w:tblPrEx>
        <w:trPr>
          <w:trHeight w:val="460"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kern w:val="0"/>
                <w:sz w:val="24"/>
                <w:szCs w:val="24"/>
                <w:lang w:val="en-US" w:eastAsia="zh-CN" w:bidi="ar"/>
              </w:rPr>
              <w:t>4</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kern w:val="0"/>
                <w:sz w:val="24"/>
                <w:szCs w:val="24"/>
                <w:lang w:bidi="ar"/>
              </w:rPr>
              <w:t>龙川县</w:t>
            </w:r>
          </w:p>
        </w:tc>
        <w:tc>
          <w:tcPr>
            <w:tcW w:w="10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43.2</w:t>
            </w:r>
          </w:p>
        </w:tc>
        <w:tc>
          <w:tcPr>
            <w:tcW w:w="7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7.58</w:t>
            </w:r>
          </w:p>
        </w:tc>
        <w:tc>
          <w:tcPr>
            <w:tcW w:w="6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2.6</w:t>
            </w:r>
          </w:p>
        </w:tc>
        <w:tc>
          <w:tcPr>
            <w:tcW w:w="6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6</w:t>
            </w:r>
          </w:p>
        </w:tc>
        <w:tc>
          <w:tcPr>
            <w:tcW w:w="6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2.4</w:t>
            </w:r>
          </w:p>
        </w:tc>
        <w:tc>
          <w:tcPr>
            <w:tcW w:w="7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1.2</w:t>
            </w:r>
          </w:p>
        </w:tc>
        <w:tc>
          <w:tcPr>
            <w:tcW w:w="5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0.8</w:t>
            </w:r>
          </w:p>
        </w:tc>
        <w:tc>
          <w:tcPr>
            <w:tcW w:w="7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2.3</w:t>
            </w:r>
          </w:p>
        </w:tc>
        <w:tc>
          <w:tcPr>
            <w:tcW w:w="6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0.8</w:t>
            </w:r>
          </w:p>
        </w:tc>
        <w:tc>
          <w:tcPr>
            <w:tcW w:w="61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0.9</w:t>
            </w:r>
          </w:p>
        </w:tc>
        <w:tc>
          <w:tcPr>
            <w:tcW w:w="73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2.3</w:t>
            </w:r>
          </w:p>
        </w:tc>
        <w:tc>
          <w:tcPr>
            <w:tcW w:w="62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0.6</w:t>
            </w:r>
          </w:p>
        </w:tc>
        <w:tc>
          <w:tcPr>
            <w:tcW w:w="6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1.4</w:t>
            </w:r>
          </w:p>
        </w:tc>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0.29</w:t>
            </w:r>
          </w:p>
        </w:tc>
        <w:tc>
          <w:tcPr>
            <w:tcW w:w="4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sz w:val="22"/>
                <w:szCs w:val="22"/>
              </w:rPr>
            </w:pPr>
          </w:p>
        </w:tc>
        <w:tc>
          <w:tcPr>
            <w:tcW w:w="6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1.4</w:t>
            </w:r>
          </w:p>
        </w:tc>
        <w:tc>
          <w:tcPr>
            <w:tcW w:w="7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0.29</w:t>
            </w:r>
          </w:p>
        </w:tc>
        <w:tc>
          <w:tcPr>
            <w:tcW w:w="4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sz w:val="22"/>
                <w:szCs w:val="22"/>
              </w:rPr>
            </w:pPr>
          </w:p>
        </w:tc>
        <w:tc>
          <w:tcPr>
            <w:tcW w:w="72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1.5</w:t>
            </w:r>
          </w:p>
        </w:tc>
      </w:tr>
      <w:tr>
        <w:tblPrEx>
          <w:tblCellMar>
            <w:top w:w="0" w:type="dxa"/>
            <w:left w:w="108" w:type="dxa"/>
            <w:bottom w:w="0" w:type="dxa"/>
            <w:right w:w="108" w:type="dxa"/>
          </w:tblCellMar>
        </w:tblPrEx>
        <w:trPr>
          <w:trHeight w:val="460"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5</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0"/>
                <w:sz w:val="24"/>
                <w:szCs w:val="24"/>
                <w:lang w:bidi="ar"/>
              </w:rPr>
              <w:t>紫金县</w:t>
            </w:r>
          </w:p>
        </w:tc>
        <w:tc>
          <w:tcPr>
            <w:tcW w:w="10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1.3</w:t>
            </w:r>
          </w:p>
        </w:tc>
        <w:tc>
          <w:tcPr>
            <w:tcW w:w="7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3.87</w:t>
            </w:r>
          </w:p>
        </w:tc>
        <w:tc>
          <w:tcPr>
            <w:tcW w:w="6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0.45</w:t>
            </w:r>
          </w:p>
        </w:tc>
        <w:tc>
          <w:tcPr>
            <w:tcW w:w="6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0.74</w:t>
            </w:r>
          </w:p>
        </w:tc>
        <w:tc>
          <w:tcPr>
            <w:tcW w:w="6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1</w:t>
            </w:r>
          </w:p>
        </w:tc>
        <w:tc>
          <w:tcPr>
            <w:tcW w:w="7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0.35</w:t>
            </w:r>
          </w:p>
        </w:tc>
        <w:tc>
          <w:tcPr>
            <w:tcW w:w="5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kern w:val="2"/>
                <w:sz w:val="22"/>
                <w:szCs w:val="22"/>
                <w:lang w:val="en-US" w:eastAsia="zh-CN" w:bidi="ar-SA"/>
              </w:rPr>
            </w:pPr>
          </w:p>
        </w:tc>
        <w:tc>
          <w:tcPr>
            <w:tcW w:w="7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1.1</w:t>
            </w:r>
          </w:p>
        </w:tc>
        <w:tc>
          <w:tcPr>
            <w:tcW w:w="6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0.1</w:t>
            </w:r>
          </w:p>
        </w:tc>
        <w:tc>
          <w:tcPr>
            <w:tcW w:w="61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0.1</w:t>
            </w:r>
          </w:p>
        </w:tc>
        <w:tc>
          <w:tcPr>
            <w:tcW w:w="73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1.13</w:t>
            </w:r>
          </w:p>
        </w:tc>
        <w:tc>
          <w:tcPr>
            <w:tcW w:w="62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kern w:val="2"/>
                <w:sz w:val="22"/>
                <w:szCs w:val="22"/>
                <w:lang w:val="en-US" w:eastAsia="zh-CN" w:bidi="ar-SA"/>
              </w:rPr>
            </w:pPr>
          </w:p>
        </w:tc>
        <w:tc>
          <w:tcPr>
            <w:tcW w:w="6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0.3</w:t>
            </w:r>
          </w:p>
        </w:tc>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0.32</w:t>
            </w:r>
          </w:p>
        </w:tc>
        <w:tc>
          <w:tcPr>
            <w:tcW w:w="4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kern w:val="2"/>
                <w:sz w:val="22"/>
                <w:szCs w:val="22"/>
                <w:lang w:val="en-US" w:eastAsia="zh-CN" w:bidi="ar-SA"/>
              </w:rPr>
            </w:pPr>
          </w:p>
        </w:tc>
        <w:tc>
          <w:tcPr>
            <w:tcW w:w="6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0.3</w:t>
            </w:r>
          </w:p>
        </w:tc>
        <w:tc>
          <w:tcPr>
            <w:tcW w:w="7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0.32</w:t>
            </w:r>
          </w:p>
        </w:tc>
        <w:tc>
          <w:tcPr>
            <w:tcW w:w="4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kern w:val="2"/>
                <w:sz w:val="22"/>
                <w:szCs w:val="22"/>
                <w:lang w:val="en-US" w:eastAsia="zh-CN" w:bidi="ar-SA"/>
              </w:rPr>
            </w:pPr>
          </w:p>
        </w:tc>
        <w:tc>
          <w:tcPr>
            <w:tcW w:w="72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0.04</w:t>
            </w:r>
          </w:p>
        </w:tc>
      </w:tr>
      <w:tr>
        <w:tblPrEx>
          <w:tblCellMar>
            <w:top w:w="0" w:type="dxa"/>
            <w:left w:w="108" w:type="dxa"/>
            <w:bottom w:w="0" w:type="dxa"/>
            <w:right w:w="108" w:type="dxa"/>
          </w:tblCellMar>
        </w:tblPrEx>
        <w:trPr>
          <w:trHeight w:val="460"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kern w:val="0"/>
                <w:sz w:val="24"/>
                <w:szCs w:val="24"/>
                <w:lang w:val="en-US" w:eastAsia="zh-CN" w:bidi="ar"/>
              </w:rPr>
              <w:t>6</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kern w:val="0"/>
                <w:sz w:val="24"/>
                <w:szCs w:val="24"/>
                <w:lang w:bidi="ar"/>
              </w:rPr>
              <w:t>连平县</w:t>
            </w:r>
          </w:p>
        </w:tc>
        <w:tc>
          <w:tcPr>
            <w:tcW w:w="10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3.3</w:t>
            </w:r>
          </w:p>
        </w:tc>
        <w:tc>
          <w:tcPr>
            <w:tcW w:w="7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3.8</w:t>
            </w:r>
          </w:p>
        </w:tc>
        <w:tc>
          <w:tcPr>
            <w:tcW w:w="6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0.3</w:t>
            </w:r>
          </w:p>
        </w:tc>
        <w:tc>
          <w:tcPr>
            <w:tcW w:w="6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1</w:t>
            </w:r>
          </w:p>
        </w:tc>
        <w:tc>
          <w:tcPr>
            <w:tcW w:w="6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1.1</w:t>
            </w:r>
          </w:p>
        </w:tc>
        <w:tc>
          <w:tcPr>
            <w:tcW w:w="7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0.3</w:t>
            </w:r>
          </w:p>
        </w:tc>
        <w:tc>
          <w:tcPr>
            <w:tcW w:w="5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sz w:val="22"/>
                <w:szCs w:val="22"/>
              </w:rPr>
            </w:pPr>
          </w:p>
        </w:tc>
        <w:tc>
          <w:tcPr>
            <w:tcW w:w="7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1.1</w:t>
            </w:r>
          </w:p>
        </w:tc>
        <w:tc>
          <w:tcPr>
            <w:tcW w:w="6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sz w:val="22"/>
                <w:szCs w:val="22"/>
              </w:rPr>
            </w:pPr>
          </w:p>
        </w:tc>
        <w:tc>
          <w:tcPr>
            <w:tcW w:w="61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0.1</w:t>
            </w:r>
          </w:p>
        </w:tc>
        <w:tc>
          <w:tcPr>
            <w:tcW w:w="73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1.1</w:t>
            </w:r>
          </w:p>
        </w:tc>
        <w:tc>
          <w:tcPr>
            <w:tcW w:w="62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sz w:val="22"/>
                <w:szCs w:val="22"/>
              </w:rPr>
            </w:pPr>
          </w:p>
        </w:tc>
        <w:tc>
          <w:tcPr>
            <w:tcW w:w="6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0.3</w:t>
            </w:r>
          </w:p>
        </w:tc>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0.25</w:t>
            </w:r>
          </w:p>
        </w:tc>
        <w:tc>
          <w:tcPr>
            <w:tcW w:w="4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sz w:val="22"/>
                <w:szCs w:val="22"/>
              </w:rPr>
            </w:pPr>
          </w:p>
        </w:tc>
        <w:tc>
          <w:tcPr>
            <w:tcW w:w="6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0.3</w:t>
            </w:r>
          </w:p>
        </w:tc>
        <w:tc>
          <w:tcPr>
            <w:tcW w:w="7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0.25</w:t>
            </w:r>
          </w:p>
        </w:tc>
        <w:tc>
          <w:tcPr>
            <w:tcW w:w="4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sz w:val="22"/>
                <w:szCs w:val="22"/>
              </w:rPr>
            </w:pPr>
          </w:p>
        </w:tc>
        <w:tc>
          <w:tcPr>
            <w:tcW w:w="72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0.3</w:t>
            </w:r>
          </w:p>
        </w:tc>
      </w:tr>
      <w:tr>
        <w:tblPrEx>
          <w:tblCellMar>
            <w:top w:w="0" w:type="dxa"/>
            <w:left w:w="108" w:type="dxa"/>
            <w:bottom w:w="0" w:type="dxa"/>
            <w:right w:w="108" w:type="dxa"/>
          </w:tblCellMar>
        </w:tblPrEx>
        <w:trPr>
          <w:trHeight w:val="460"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0"/>
                <w:sz w:val="24"/>
                <w:szCs w:val="24"/>
                <w:lang w:bidi="ar"/>
              </w:rPr>
            </w:pPr>
            <w:r>
              <w:rPr>
                <w:rFonts w:hint="eastAsia" w:ascii="仿宋_GB2312" w:hAnsi="仿宋_GB2312" w:eastAsia="仿宋_GB2312" w:cs="仿宋_GB2312"/>
                <w:b w:val="0"/>
                <w:bCs w:val="0"/>
                <w:color w:val="auto"/>
                <w:kern w:val="0"/>
                <w:sz w:val="24"/>
                <w:szCs w:val="24"/>
                <w:lang w:bidi="ar"/>
              </w:rPr>
              <w:t>7</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0"/>
                <w:sz w:val="24"/>
                <w:szCs w:val="24"/>
                <w:lang w:bidi="ar"/>
              </w:rPr>
              <w:t>江东新区</w:t>
            </w:r>
          </w:p>
        </w:tc>
        <w:tc>
          <w:tcPr>
            <w:tcW w:w="10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0.7</w:t>
            </w:r>
          </w:p>
        </w:tc>
        <w:tc>
          <w:tcPr>
            <w:tcW w:w="7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kern w:val="2"/>
                <w:sz w:val="22"/>
                <w:szCs w:val="22"/>
                <w:lang w:val="en-US" w:eastAsia="zh-CN" w:bidi="ar-SA"/>
              </w:rPr>
            </w:pPr>
          </w:p>
        </w:tc>
        <w:tc>
          <w:tcPr>
            <w:tcW w:w="6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kern w:val="2"/>
                <w:sz w:val="22"/>
                <w:szCs w:val="22"/>
                <w:lang w:val="en-US" w:eastAsia="zh-CN" w:bidi="ar-SA"/>
              </w:rPr>
            </w:pPr>
          </w:p>
        </w:tc>
        <w:tc>
          <w:tcPr>
            <w:tcW w:w="6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0.26</w:t>
            </w:r>
          </w:p>
        </w:tc>
        <w:tc>
          <w:tcPr>
            <w:tcW w:w="6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kern w:val="2"/>
                <w:sz w:val="22"/>
                <w:szCs w:val="22"/>
                <w:lang w:val="en-US" w:eastAsia="zh-CN" w:bidi="ar-SA"/>
              </w:rPr>
            </w:pPr>
          </w:p>
        </w:tc>
        <w:tc>
          <w:tcPr>
            <w:tcW w:w="7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kern w:val="2"/>
                <w:sz w:val="22"/>
                <w:szCs w:val="22"/>
                <w:lang w:val="en-US" w:eastAsia="zh-CN" w:bidi="ar-SA"/>
              </w:rPr>
            </w:pPr>
          </w:p>
        </w:tc>
        <w:tc>
          <w:tcPr>
            <w:tcW w:w="5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kern w:val="2"/>
                <w:sz w:val="22"/>
                <w:szCs w:val="22"/>
                <w:lang w:val="en-US" w:eastAsia="zh-CN" w:bidi="ar-SA"/>
              </w:rPr>
            </w:pPr>
          </w:p>
        </w:tc>
        <w:tc>
          <w:tcPr>
            <w:tcW w:w="7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kern w:val="2"/>
                <w:sz w:val="22"/>
                <w:szCs w:val="22"/>
                <w:lang w:val="en-US" w:eastAsia="zh-CN" w:bidi="ar-SA"/>
              </w:rPr>
            </w:pPr>
          </w:p>
        </w:tc>
        <w:tc>
          <w:tcPr>
            <w:tcW w:w="6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kern w:val="2"/>
                <w:sz w:val="22"/>
                <w:szCs w:val="22"/>
                <w:lang w:val="en-US" w:eastAsia="zh-CN" w:bidi="ar-SA"/>
              </w:rPr>
            </w:pPr>
          </w:p>
        </w:tc>
        <w:tc>
          <w:tcPr>
            <w:tcW w:w="61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kern w:val="2"/>
                <w:sz w:val="22"/>
                <w:szCs w:val="22"/>
                <w:lang w:val="en-US" w:eastAsia="zh-CN" w:bidi="ar-SA"/>
              </w:rPr>
            </w:pPr>
          </w:p>
        </w:tc>
        <w:tc>
          <w:tcPr>
            <w:tcW w:w="73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kern w:val="2"/>
                <w:sz w:val="22"/>
                <w:szCs w:val="22"/>
                <w:lang w:val="en-US" w:eastAsia="zh-CN" w:bidi="ar-SA"/>
              </w:rPr>
            </w:pPr>
          </w:p>
        </w:tc>
        <w:tc>
          <w:tcPr>
            <w:tcW w:w="62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kern w:val="2"/>
                <w:sz w:val="22"/>
                <w:szCs w:val="22"/>
                <w:lang w:val="en-US" w:eastAsia="zh-CN" w:bidi="ar-SA"/>
              </w:rPr>
            </w:pPr>
          </w:p>
        </w:tc>
        <w:tc>
          <w:tcPr>
            <w:tcW w:w="6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0.1</w:t>
            </w:r>
          </w:p>
        </w:tc>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kern w:val="2"/>
                <w:sz w:val="22"/>
                <w:szCs w:val="22"/>
                <w:lang w:val="en-US" w:eastAsia="zh-CN" w:bidi="ar-SA"/>
              </w:rPr>
            </w:pPr>
          </w:p>
        </w:tc>
        <w:tc>
          <w:tcPr>
            <w:tcW w:w="4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kern w:val="2"/>
                <w:sz w:val="22"/>
                <w:szCs w:val="22"/>
                <w:lang w:val="en-US" w:eastAsia="zh-CN" w:bidi="ar-SA"/>
              </w:rPr>
            </w:pPr>
          </w:p>
        </w:tc>
        <w:tc>
          <w:tcPr>
            <w:tcW w:w="6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0.1</w:t>
            </w:r>
          </w:p>
        </w:tc>
        <w:tc>
          <w:tcPr>
            <w:tcW w:w="7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kern w:val="2"/>
                <w:sz w:val="22"/>
                <w:szCs w:val="22"/>
                <w:lang w:val="en-US" w:eastAsia="zh-CN" w:bidi="ar-SA"/>
              </w:rPr>
            </w:pPr>
          </w:p>
        </w:tc>
        <w:tc>
          <w:tcPr>
            <w:tcW w:w="4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kern w:val="2"/>
                <w:sz w:val="22"/>
                <w:szCs w:val="22"/>
                <w:lang w:val="en-US" w:eastAsia="zh-CN" w:bidi="ar-SA"/>
              </w:rPr>
            </w:pPr>
          </w:p>
        </w:tc>
        <w:tc>
          <w:tcPr>
            <w:tcW w:w="72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0"/>
                <w:sz w:val="22"/>
                <w:szCs w:val="22"/>
                <w:lang w:bidi="ar"/>
              </w:rPr>
              <w:t>0.06</w:t>
            </w:r>
          </w:p>
        </w:tc>
      </w:tr>
      <w:tr>
        <w:tblPrEx>
          <w:tblCellMar>
            <w:top w:w="0" w:type="dxa"/>
            <w:left w:w="108" w:type="dxa"/>
            <w:bottom w:w="0" w:type="dxa"/>
            <w:right w:w="108" w:type="dxa"/>
          </w:tblCellMar>
        </w:tblPrEx>
        <w:trPr>
          <w:trHeight w:val="460"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kern w:val="0"/>
                <w:sz w:val="24"/>
                <w:szCs w:val="24"/>
                <w:lang w:bidi="ar"/>
              </w:rPr>
              <w:t>8</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kern w:val="0"/>
                <w:sz w:val="24"/>
                <w:szCs w:val="24"/>
                <w:lang w:bidi="ar"/>
              </w:rPr>
              <w:t>新丰江</w:t>
            </w:r>
          </w:p>
        </w:tc>
        <w:tc>
          <w:tcPr>
            <w:tcW w:w="10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1.1</w:t>
            </w:r>
          </w:p>
        </w:tc>
        <w:tc>
          <w:tcPr>
            <w:tcW w:w="7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0.49</w:t>
            </w:r>
          </w:p>
        </w:tc>
        <w:tc>
          <w:tcPr>
            <w:tcW w:w="6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sz w:val="22"/>
                <w:szCs w:val="22"/>
              </w:rPr>
            </w:pPr>
          </w:p>
        </w:tc>
        <w:tc>
          <w:tcPr>
            <w:tcW w:w="6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0.42</w:t>
            </w:r>
          </w:p>
        </w:tc>
        <w:tc>
          <w:tcPr>
            <w:tcW w:w="6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0.2</w:t>
            </w:r>
          </w:p>
        </w:tc>
        <w:tc>
          <w:tcPr>
            <w:tcW w:w="7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sz w:val="22"/>
                <w:szCs w:val="22"/>
              </w:rPr>
            </w:pPr>
          </w:p>
        </w:tc>
        <w:tc>
          <w:tcPr>
            <w:tcW w:w="5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sz w:val="22"/>
                <w:szCs w:val="22"/>
              </w:rPr>
            </w:pPr>
          </w:p>
        </w:tc>
        <w:tc>
          <w:tcPr>
            <w:tcW w:w="7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0.20</w:t>
            </w:r>
          </w:p>
        </w:tc>
        <w:tc>
          <w:tcPr>
            <w:tcW w:w="6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sz w:val="22"/>
                <w:szCs w:val="22"/>
              </w:rPr>
            </w:pPr>
          </w:p>
        </w:tc>
        <w:tc>
          <w:tcPr>
            <w:tcW w:w="61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0.1</w:t>
            </w:r>
          </w:p>
        </w:tc>
        <w:tc>
          <w:tcPr>
            <w:tcW w:w="73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0.09</w:t>
            </w:r>
          </w:p>
        </w:tc>
        <w:tc>
          <w:tcPr>
            <w:tcW w:w="62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sz w:val="22"/>
                <w:szCs w:val="22"/>
              </w:rPr>
            </w:pPr>
          </w:p>
        </w:tc>
        <w:tc>
          <w:tcPr>
            <w:tcW w:w="6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0.1</w:t>
            </w:r>
          </w:p>
        </w:tc>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sz w:val="22"/>
                <w:szCs w:val="22"/>
              </w:rPr>
            </w:pPr>
          </w:p>
        </w:tc>
        <w:tc>
          <w:tcPr>
            <w:tcW w:w="4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sz w:val="22"/>
                <w:szCs w:val="22"/>
              </w:rPr>
            </w:pPr>
          </w:p>
        </w:tc>
        <w:tc>
          <w:tcPr>
            <w:tcW w:w="6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0.1</w:t>
            </w:r>
          </w:p>
        </w:tc>
        <w:tc>
          <w:tcPr>
            <w:tcW w:w="7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sz w:val="22"/>
                <w:szCs w:val="22"/>
              </w:rPr>
            </w:pPr>
          </w:p>
        </w:tc>
        <w:tc>
          <w:tcPr>
            <w:tcW w:w="4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color w:val="auto"/>
                <w:sz w:val="22"/>
                <w:szCs w:val="22"/>
              </w:rPr>
            </w:pPr>
          </w:p>
        </w:tc>
        <w:tc>
          <w:tcPr>
            <w:tcW w:w="72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0.12</w:t>
            </w:r>
          </w:p>
        </w:tc>
      </w:tr>
      <w:tr>
        <w:tblPrEx>
          <w:tblCellMar>
            <w:top w:w="0" w:type="dxa"/>
            <w:left w:w="108" w:type="dxa"/>
            <w:bottom w:w="0" w:type="dxa"/>
            <w:right w:w="108" w:type="dxa"/>
          </w:tblCellMar>
        </w:tblPrEx>
        <w:trPr>
          <w:trHeight w:val="270" w:hRule="atLeast"/>
        </w:trPr>
        <w:tc>
          <w:tcPr>
            <w:tcW w:w="14247" w:type="dxa"/>
            <w:gridSpan w:val="21"/>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kern w:val="0"/>
                <w:sz w:val="22"/>
                <w:szCs w:val="22"/>
                <w:lang w:bidi="ar"/>
              </w:rPr>
              <w:t>注：最终</w:t>
            </w:r>
            <w:r>
              <w:rPr>
                <w:rFonts w:hint="eastAsia" w:ascii="仿宋_GB2312" w:hAnsi="仿宋_GB2312" w:eastAsia="仿宋_GB2312" w:cs="仿宋_GB2312"/>
                <w:b w:val="0"/>
                <w:bCs w:val="0"/>
                <w:color w:val="auto"/>
                <w:kern w:val="0"/>
                <w:sz w:val="22"/>
                <w:szCs w:val="22"/>
                <w:lang w:eastAsia="zh-CN" w:bidi="ar"/>
              </w:rPr>
              <w:t>年度</w:t>
            </w:r>
            <w:r>
              <w:rPr>
                <w:rFonts w:hint="eastAsia" w:ascii="仿宋_GB2312" w:hAnsi="仿宋_GB2312" w:eastAsia="仿宋_GB2312" w:cs="仿宋_GB2312"/>
                <w:b w:val="0"/>
                <w:bCs w:val="0"/>
                <w:color w:val="auto"/>
                <w:kern w:val="0"/>
                <w:sz w:val="22"/>
                <w:szCs w:val="22"/>
                <w:lang w:bidi="ar"/>
              </w:rPr>
              <w:t>任务以省下达为准。</w:t>
            </w:r>
          </w:p>
        </w:tc>
      </w:tr>
    </w:tbl>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bCs w:val="0"/>
          <w:color w:val="auto"/>
          <w:sz w:val="32"/>
          <w:szCs w:val="32"/>
        </w:rPr>
        <w:sectPr>
          <w:footerReference r:id="rId4" w:type="default"/>
          <w:pgSz w:w="16838" w:h="11906" w:orient="landscape"/>
          <w:pgMar w:top="1800" w:right="1440" w:bottom="1800" w:left="1440" w:header="851" w:footer="992" w:gutter="0"/>
          <w:pgNumType w:fmt="decimal"/>
          <w:cols w:space="720" w:num="1"/>
          <w:docGrid w:type="lines" w:linePitch="312" w:charSpace="0"/>
        </w:sectPr>
      </w:pPr>
    </w:p>
    <w:p>
      <w:pPr>
        <w:jc w:val="left"/>
        <w:rPr>
          <w:rFonts w:hint="eastAsia" w:ascii="黑体" w:hAnsi="黑体" w:eastAsia="黑体" w:cs="黑体"/>
          <w:b w:val="0"/>
          <w:bCs w:val="0"/>
          <w:color w:val="auto"/>
        </w:rPr>
      </w:pPr>
      <w:r>
        <w:rPr>
          <w:rFonts w:hint="eastAsia" w:ascii="黑体" w:hAnsi="黑体" w:eastAsia="黑体" w:cs="黑体"/>
          <w:b w:val="0"/>
          <w:bCs w:val="0"/>
          <w:color w:val="auto"/>
        </w:rPr>
        <w:t>附件2</w:t>
      </w:r>
    </w:p>
    <w:p>
      <w:pPr>
        <w:spacing w:line="560" w:lineRule="exact"/>
        <w:jc w:val="center"/>
        <w:rPr>
          <w:rFonts w:hint="eastAsia" w:ascii="宋体" w:hAnsi="宋体" w:eastAsia="仿宋_GB2312" w:cs="方正仿宋_GBK"/>
          <w:b w:val="0"/>
          <w:bCs w:val="0"/>
          <w:color w:val="auto"/>
        </w:rPr>
      </w:pPr>
      <w:r>
        <w:rPr>
          <w:rFonts w:hint="eastAsia" w:ascii="方正小标宋简体" w:hAnsi="方正小标宋简体" w:eastAsia="方正小标宋简体" w:cs="方正小标宋简体"/>
          <w:b w:val="0"/>
          <w:bCs w:val="0"/>
          <w:color w:val="auto"/>
          <w:kern w:val="0"/>
          <w:sz w:val="44"/>
          <w:szCs w:val="44"/>
          <w:lang w:bidi="ar"/>
        </w:rPr>
        <w:drawing>
          <wp:anchor distT="0" distB="0" distL="114300" distR="114300" simplePos="0" relativeHeight="251661312" behindDoc="0" locked="0" layoutInCell="1" allowOverlap="1">
            <wp:simplePos x="0" y="0"/>
            <wp:positionH relativeFrom="column">
              <wp:posOffset>162560</wp:posOffset>
            </wp:positionH>
            <wp:positionV relativeFrom="paragraph">
              <wp:posOffset>504190</wp:posOffset>
            </wp:positionV>
            <wp:extent cx="5268595" cy="7452360"/>
            <wp:effectExtent l="0" t="0" r="8255" b="15240"/>
            <wp:wrapSquare wrapText="bothSides"/>
            <wp:docPr id="3" name="图片 1" descr="02df65fc8bb468f4f8eedb1e2786b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02df65fc8bb468f4f8eedb1e2786bb2"/>
                    <pic:cNvPicPr>
                      <a:picLocks noChangeAspect="1"/>
                    </pic:cNvPicPr>
                  </pic:nvPicPr>
                  <pic:blipFill>
                    <a:blip r:embed="rId8"/>
                    <a:stretch>
                      <a:fillRect/>
                    </a:stretch>
                  </pic:blipFill>
                  <pic:spPr>
                    <a:xfrm>
                      <a:off x="0" y="0"/>
                      <a:ext cx="5268595" cy="7452360"/>
                    </a:xfrm>
                    <a:prstGeom prst="rect">
                      <a:avLst/>
                    </a:prstGeom>
                    <a:noFill/>
                    <a:ln>
                      <a:noFill/>
                    </a:ln>
                  </pic:spPr>
                </pic:pic>
              </a:graphicData>
            </a:graphic>
          </wp:anchor>
        </w:drawing>
      </w:r>
      <w:r>
        <w:rPr>
          <w:rFonts w:hint="eastAsia" w:ascii="方正小标宋简体" w:hAnsi="方正小标宋简体" w:eastAsia="方正小标宋简体" w:cs="方正小标宋简体"/>
          <w:b w:val="0"/>
          <w:bCs w:val="0"/>
          <w:color w:val="auto"/>
          <w:kern w:val="0"/>
          <w:sz w:val="44"/>
          <w:szCs w:val="44"/>
          <w:lang w:bidi="ar"/>
        </w:rPr>
        <w:t>河源市油茶产业发展总体布局图</w:t>
      </w:r>
    </w:p>
    <w:p>
      <w:pPr>
        <w:spacing w:line="600" w:lineRule="exact"/>
        <w:rPr>
          <w:rFonts w:hint="eastAsia"/>
        </w:rPr>
      </w:pPr>
    </w:p>
    <w:p>
      <w:pPr>
        <w:rPr>
          <w:rFonts w:hint="eastAsia"/>
        </w:rPr>
      </w:pPr>
    </w:p>
    <w:p>
      <w:pPr>
        <w:spacing w:line="600" w:lineRule="exact"/>
        <w:rPr>
          <w:rFonts w:hint="eastAsia"/>
        </w:rPr>
      </w:pPr>
    </w:p>
    <w:p>
      <w:pPr>
        <w:spacing w:line="600" w:lineRule="exact"/>
        <w:rPr>
          <w:rFonts w:hint="eastAsia"/>
        </w:rPr>
      </w:pPr>
    </w:p>
    <w:p>
      <w:pPr>
        <w:spacing w:line="600" w:lineRule="exact"/>
        <w:rPr>
          <w:rFonts w:hint="eastAsia" w:eastAsia="黑体"/>
        </w:rPr>
      </w:pPr>
    </w:p>
    <w:p>
      <w:pPr>
        <w:rPr>
          <w:rFonts w:hint="eastAsia"/>
        </w:rPr>
      </w:pPr>
    </w:p>
    <w:p>
      <w:pPr>
        <w:rPr>
          <w:rFonts w:hint="eastAsia"/>
        </w:rPr>
      </w:pPr>
    </w:p>
    <w:p>
      <w:pPr>
        <w:spacing w:line="600" w:lineRule="exact"/>
        <w:rPr>
          <w:rFonts w:hint="eastAsia"/>
        </w:rPr>
      </w:pPr>
    </w:p>
    <w:p>
      <w:pPr>
        <w:spacing w:line="600" w:lineRule="exact"/>
        <w:rPr>
          <w:rFonts w:hint="eastAsia" w:eastAsia="黑体"/>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tabs>
          <w:tab w:val="left" w:pos="7447"/>
        </w:tabs>
        <w:rPr>
          <w:rFonts w:hint="eastAsia" w:eastAsia="仿宋_GB2312"/>
          <w:lang w:eastAsia="zh-CN"/>
        </w:rPr>
      </w:pPr>
      <w:r>
        <w:rPr>
          <w:rFonts w:hint="eastAsia"/>
          <w:lang w:eastAsia="zh-CN"/>
        </w:rPr>
        <w:tab/>
      </w:r>
    </w:p>
    <w:p>
      <w:pPr>
        <w:spacing w:line="600" w:lineRule="exact"/>
        <w:rPr>
          <w:rFonts w:hint="eastAsia"/>
        </w:rPr>
      </w:pPr>
      <w:r>
        <w:rPr>
          <w:rFonts w:hint="eastAsia" w:eastAsia="黑体"/>
        </w:rPr>
        <w:t>公开方式：</w:t>
      </w:r>
      <w:r>
        <w:rPr>
          <w:rFonts w:hint="eastAsia"/>
        </w:rPr>
        <w:t>主动公开</w:t>
      </w:r>
    </w:p>
    <w:p>
      <w:pPr>
        <w:spacing w:line="600" w:lineRule="exact"/>
        <w:rPr>
          <w:rFonts w:hint="eastAsia"/>
        </w:rPr>
      </w:pPr>
    </w:p>
    <w:p>
      <w:pPr>
        <w:spacing w:line="40" w:lineRule="exact"/>
        <w:ind w:firstLine="316" w:firstLineChars="100"/>
        <w:rPr>
          <w:rFonts w:hint="eastAsia"/>
        </w:rPr>
      </w:pPr>
      <w:bookmarkStart w:id="0" w:name="_GoBack"/>
      <w:bookmarkEnd w:id="0"/>
    </w:p>
    <w:p>
      <w:pPr>
        <w:spacing w:line="40" w:lineRule="exact"/>
        <w:ind w:firstLine="316" w:firstLineChars="100"/>
        <w:rPr>
          <w:rFonts w:hint="eastAsia"/>
        </w:rPr>
      </w:pPr>
    </w:p>
    <w:sectPr>
      <w:footerReference r:id="rId5" w:type="default"/>
      <w:footerReference r:id="rId6" w:type="even"/>
      <w:pgSz w:w="11906" w:h="16838"/>
      <w:pgMar w:top="1531" w:right="1531" w:bottom="2098" w:left="1531" w:header="851" w:footer="992" w:gutter="0"/>
      <w:pgNumType w:fmt="decimal"/>
      <w:cols w:space="72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7A"/>
    <w:family w:val="auto"/>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创艺简标宋">
    <w:altName w:val="方正小标宋简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微软雅黑">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74104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741045" cy="1828800"/>
                      </a:xfrm>
                      <a:prstGeom prst="rect">
                        <a:avLst/>
                      </a:prstGeom>
                      <a:noFill/>
                      <a:ln>
                        <a:noFill/>
                      </a:ln>
                    </wps:spPr>
                    <wps:txbx>
                      <w:txbxContent>
                        <w:p>
                          <w:pPr>
                            <w:pStyle w:val="6"/>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square" lIns="0" tIns="0" rIns="0" bIns="0" anchor="t" anchorCtr="0" upright="1">
                      <a:spAutoFit/>
                    </wps:bodyPr>
                  </wps:wsp>
                </a:graphicData>
              </a:graphic>
            </wp:anchor>
          </w:drawing>
        </mc:Choice>
        <mc:Fallback>
          <w:pict>
            <v:shape id="_x0000_s1026" o:spid="_x0000_s1026" o:spt="202" type="#_x0000_t202" style="position:absolute;left:0pt;margin-top:0pt;height:144pt;width:58.35pt;mso-position-horizontal:outside;mso-position-horizontal-relative:margin;z-index:251663360;mso-width-relative:page;mso-height-relative:page;" filled="f" stroked="f" coordsize="21600,21600" o:gfxdata="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Cb9QDd0wAAAAUBAAAPAAAA&#10;AAAAAAEAIAAAADgAAABkcnMvZG93bnJldi54bWxQSwECFAAUAAAACACHTuJASoM47csBAABxAwAA&#10;DgAAAAAAAAABACAAAAA4AQAAZHJzL2Uyb0RvYy54bWxQSwUGAAAAAAYABgBZAQAAdQUAAAAA&#10;">
              <v:fill on="f" focussize="0,0"/>
              <v:stroke on="f"/>
              <v:imagedata o:title=""/>
              <o:lock v:ext="edit" aspectratio="f"/>
              <v:textbox inset="0mm,0mm,0mm,0mm" style="mso-fit-shape-to-text:t;">
                <w:txbxContent>
                  <w:p>
                    <w:pPr>
                      <w:pStyle w:val="6"/>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57785" cy="1397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57785" cy="139700"/>
                      </a:xfrm>
                      <a:prstGeom prst="rect">
                        <a:avLst/>
                      </a:prstGeom>
                      <a:noFill/>
                      <a:ln>
                        <a:noFill/>
                      </a:ln>
                    </wps:spPr>
                    <wps:txbx>
                      <w:txbxContent>
                        <w:p>
                          <w:pPr>
                            <w:rPr>
                              <w:rFonts w:hint="eastAsia"/>
                              <w:lang w:val="en-US" w:eastAsia="zh-CN"/>
                            </w:rPr>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1pt;width:4.55pt;mso-position-horizontal:outside;mso-position-horizontal-relative:margin;mso-wrap-style:none;z-index:251662336;mso-width-relative:page;mso-height-relative:page;" filled="f" stroked="f" coordsize="21600,21600" o:gfxdata="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AIdi3EzwAAAAIBAAAPAAAAAAAAAAEAIAAAADgAAABkcnMvZG93bnJldi54&#10;bWxQSwECFAAUAAAACACHTuJAjlHXM7QBAABIAwAADgAAAAAAAAABACAAAAA0AQAAZHJzL2Uyb0Rv&#10;Yy54bWxQSwUGAAAAAAYABgBZAQAAWgUAAAAA&#10;">
              <v:fill on="f" focussize="0,0"/>
              <v:stroke on="f"/>
              <v:imagedata o:title=""/>
              <o:lock v:ext="edit" aspectratio="f"/>
              <v:textbox inset="0mm,0mm,0mm,0mm" style="mso-fit-shape-to-text:t;">
                <w:txbxContent>
                  <w:p>
                    <w:pPr>
                      <w:rPr>
                        <w:rFonts w:hint="eastAsia"/>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78994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789940" cy="1828800"/>
                      </a:xfrm>
                      <a:prstGeom prst="rect">
                        <a:avLst/>
                      </a:prstGeom>
                      <a:noFill/>
                      <a:ln>
                        <a:noFill/>
                      </a:ln>
                    </wps:spPr>
                    <wps:txbx>
                      <w:txbxContent>
                        <w:p>
                          <w:pPr>
                            <w:pStyle w:val="6"/>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square" lIns="0" tIns="0" rIns="0" bIns="0" anchor="t" anchorCtr="0" upright="1">
                      <a:spAutoFit/>
                    </wps:bodyPr>
                  </wps:wsp>
                </a:graphicData>
              </a:graphic>
            </wp:anchor>
          </w:drawing>
        </mc:Choice>
        <mc:Fallback>
          <w:pict>
            <v:shape id="文本框 4" o:spid="_x0000_s1026" o:spt="202" type="#_x0000_t202" style="position:absolute;left:0pt;margin-top:0pt;height:144pt;width:62.2pt;mso-position-horizontal:center;mso-position-horizontal-relative:margin;z-index:251665408;mso-width-relative:page;mso-height-relative:page;" filled="f" stroked="f" coordsize="21600,21600" o:gfxdata="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OxlcF3UAAAABQEAAA8A&#10;AAAAAAAAAQAgAAAAOAAAAGRycy9kb3ducmV2LnhtbFBLAQIUABQAAAAIAIdO4kBLV38BzAEAAHED&#10;AAAOAAAAAAAAAAEAIAAAADkBAABkcnMvZTJvRG9jLnhtbFBLBQYAAAAABgAGAFkBAAB3BQAAAAA=&#10;">
              <v:fill on="f" focussize="0,0"/>
              <v:stroke on="f"/>
              <v:imagedata o:title=""/>
              <o:lock v:ext="edit" aspectratio="f"/>
              <v:textbox inset="0mm,0mm,0mm,0mm" style="mso-fit-shape-to-text:t;">
                <w:txbxContent>
                  <w:p>
                    <w:pPr>
                      <w:pStyle w:val="6"/>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57785" cy="139700"/>
              <wp:effectExtent l="0" t="0" r="0" b="0"/>
              <wp:wrapNone/>
              <wp:docPr id="7" name="文本框 5"/>
              <wp:cNvGraphicFramePr/>
              <a:graphic xmlns:a="http://schemas.openxmlformats.org/drawingml/2006/main">
                <a:graphicData uri="http://schemas.microsoft.com/office/word/2010/wordprocessingShape">
                  <wps:wsp>
                    <wps:cNvSpPr txBox="1"/>
                    <wps:spPr>
                      <a:xfrm>
                        <a:off x="0" y="0"/>
                        <a:ext cx="57785" cy="139700"/>
                      </a:xfrm>
                      <a:prstGeom prst="rect">
                        <a:avLst/>
                      </a:prstGeom>
                      <a:noFill/>
                      <a:ln>
                        <a:noFill/>
                      </a:ln>
                    </wps:spPr>
                    <wps:txbx>
                      <w:txbxContent>
                        <w:p>
                          <w:pPr>
                            <w:rPr>
                              <w:rFonts w:hint="eastAsia"/>
                              <w:lang w:val="en-US" w:eastAsia="zh-CN"/>
                            </w:rPr>
                          </w:pP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1pt;width:4.55pt;mso-position-horizontal:outside;mso-position-horizontal-relative:margin;mso-wrap-style:none;z-index:251664384;mso-width-relative:page;mso-height-relative:page;" filled="f" stroked="f" coordsize="21600,21600" o:gfxdata="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AIdi3EzwAAAAIBAAAPAAAAAAAAAAEAIAAAADgAAABkcnMvZG93bnJldi54&#10;bWxQSwECFAAUAAAACACHTuJAbOfDWrQBAABIAwAADgAAAAAAAAABACAAAAA0AQAAZHJzL2Uyb0Rv&#10;Yy54bWxQSwUGAAAAAAYABgBZAQAAWgUAAAAA&#10;">
              <v:fill on="f" focussize="0,0"/>
              <v:stroke on="f"/>
              <v:imagedata o:title=""/>
              <o:lock v:ext="edit" aspectratio="f"/>
              <v:textbox inset="0mm,0mm,0mm,0mm" style="mso-fit-shape-to-text:t;">
                <w:txbxContent>
                  <w:p>
                    <w:pPr>
                      <w:rPr>
                        <w:rFonts w:hint="eastAsia"/>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rPr>
                              <w:rStyle w:val="12"/>
                              <w:rFonts w:hint="eastAsia"/>
                              <w:sz w:val="28"/>
                            </w:rPr>
                          </w:pPr>
                          <w:r>
                            <w:rPr>
                              <w:rStyle w:val="12"/>
                              <w:rFonts w:hint="eastAsia" w:asciiTheme="minorEastAsia" w:hAnsiTheme="minorEastAsia" w:eastAsiaTheme="minorEastAsia" w:cstheme="minorEastAsia"/>
                              <w:sz w:val="28"/>
                            </w:rPr>
                            <w:t xml:space="preserve">— </w:t>
                          </w:r>
                          <w:r>
                            <w:rPr>
                              <w:rFonts w:hint="eastAsia" w:asciiTheme="minorEastAsia" w:hAnsiTheme="minorEastAsia" w:eastAsiaTheme="minorEastAsia" w:cstheme="minorEastAsia"/>
                              <w:sz w:val="28"/>
                            </w:rPr>
                            <w:fldChar w:fldCharType="begin"/>
                          </w:r>
                          <w:r>
                            <w:rPr>
                              <w:rStyle w:val="12"/>
                              <w:rFonts w:hint="eastAsia" w:asciiTheme="minorEastAsia" w:hAnsiTheme="minorEastAsia" w:eastAsiaTheme="minorEastAsia" w:cstheme="minorEastAsia"/>
                              <w:sz w:val="28"/>
                            </w:rPr>
                            <w:instrText xml:space="preserve"> PAGE </w:instrText>
                          </w:r>
                          <w:r>
                            <w:rPr>
                              <w:rFonts w:hint="eastAsia" w:asciiTheme="minorEastAsia" w:hAnsiTheme="minorEastAsia" w:eastAsiaTheme="minorEastAsia" w:cstheme="minorEastAsia"/>
                              <w:sz w:val="28"/>
                            </w:rPr>
                            <w:fldChar w:fldCharType="separate"/>
                          </w:r>
                          <w:r>
                            <w:rPr>
                              <w:rStyle w:val="12"/>
                              <w:rFonts w:hint="eastAsia" w:asciiTheme="minorEastAsia" w:hAnsiTheme="minorEastAsia" w:eastAsiaTheme="minorEastAsia" w:cstheme="minorEastAsia"/>
                              <w:sz w:val="28"/>
                            </w:rPr>
                            <w:t>２</w:t>
                          </w:r>
                          <w:r>
                            <w:rPr>
                              <w:rFonts w:hint="eastAsia" w:asciiTheme="minorEastAsia" w:hAnsiTheme="minorEastAsia" w:eastAsiaTheme="minorEastAsia" w:cstheme="minorEastAsia"/>
                              <w:sz w:val="28"/>
                            </w:rPr>
                            <w:fldChar w:fldCharType="end"/>
                          </w:r>
                          <w:r>
                            <w:rPr>
                              <w:rStyle w:val="12"/>
                              <w:rFonts w:hint="eastAsia" w:asciiTheme="minorEastAsia" w:hAnsiTheme="minorEastAsia" w:eastAsiaTheme="minorEastAsia" w:cstheme="minorEastAsia"/>
                              <w:sz w:val="28"/>
                            </w:rPr>
                            <w:t xml:space="preserve"> </w:t>
                          </w:r>
                          <w:r>
                            <w:rPr>
                              <w:rStyle w:val="12"/>
                              <w:rFonts w:hint="eastAsia"/>
                              <w:sz w:val="28"/>
                            </w:rPr>
                            <w:t>—</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PwhIIPKAQAAeQMAAA4AAAAA&#10;AAAAAQAgAAAANAEAAGRycy9lMm9Eb2MueG1sUEsFBgAAAAAGAAYAWQEAAHAFAAAAAA==&#10;">
              <v:fill on="f" focussize="0,0"/>
              <v:stroke on="f"/>
              <v:imagedata o:title=""/>
              <o:lock v:ext="edit" aspectratio="f"/>
              <v:textbox inset="0mm,0mm,0mm,0mm" style="mso-fit-shape-to-text:t;">
                <w:txbxContent>
                  <w:p>
                    <w:pPr>
                      <w:pStyle w:val="6"/>
                      <w:rPr>
                        <w:rStyle w:val="12"/>
                        <w:rFonts w:hint="eastAsia"/>
                        <w:sz w:val="28"/>
                      </w:rPr>
                    </w:pPr>
                    <w:r>
                      <w:rPr>
                        <w:rStyle w:val="12"/>
                        <w:rFonts w:hint="eastAsia" w:asciiTheme="minorEastAsia" w:hAnsiTheme="minorEastAsia" w:eastAsiaTheme="minorEastAsia" w:cstheme="minorEastAsia"/>
                        <w:sz w:val="28"/>
                      </w:rPr>
                      <w:t xml:space="preserve">— </w:t>
                    </w:r>
                    <w:r>
                      <w:rPr>
                        <w:rFonts w:hint="eastAsia" w:asciiTheme="minorEastAsia" w:hAnsiTheme="minorEastAsia" w:eastAsiaTheme="minorEastAsia" w:cstheme="minorEastAsia"/>
                        <w:sz w:val="28"/>
                      </w:rPr>
                      <w:fldChar w:fldCharType="begin"/>
                    </w:r>
                    <w:r>
                      <w:rPr>
                        <w:rStyle w:val="12"/>
                        <w:rFonts w:hint="eastAsia" w:asciiTheme="minorEastAsia" w:hAnsiTheme="minorEastAsia" w:eastAsiaTheme="minorEastAsia" w:cstheme="minorEastAsia"/>
                        <w:sz w:val="28"/>
                      </w:rPr>
                      <w:instrText xml:space="preserve"> PAGE </w:instrText>
                    </w:r>
                    <w:r>
                      <w:rPr>
                        <w:rFonts w:hint="eastAsia" w:asciiTheme="minorEastAsia" w:hAnsiTheme="minorEastAsia" w:eastAsiaTheme="minorEastAsia" w:cstheme="minorEastAsia"/>
                        <w:sz w:val="28"/>
                      </w:rPr>
                      <w:fldChar w:fldCharType="separate"/>
                    </w:r>
                    <w:r>
                      <w:rPr>
                        <w:rStyle w:val="12"/>
                        <w:rFonts w:hint="eastAsia" w:asciiTheme="minorEastAsia" w:hAnsiTheme="minorEastAsia" w:eastAsiaTheme="minorEastAsia" w:cstheme="minorEastAsia"/>
                        <w:sz w:val="28"/>
                      </w:rPr>
                      <w:t>２</w:t>
                    </w:r>
                    <w:r>
                      <w:rPr>
                        <w:rFonts w:hint="eastAsia" w:asciiTheme="minorEastAsia" w:hAnsiTheme="minorEastAsia" w:eastAsiaTheme="minorEastAsia" w:cstheme="minorEastAsia"/>
                        <w:sz w:val="28"/>
                      </w:rPr>
                      <w:fldChar w:fldCharType="end"/>
                    </w:r>
                    <w:r>
                      <w:rPr>
                        <w:rStyle w:val="12"/>
                        <w:rFonts w:hint="eastAsia" w:asciiTheme="minorEastAsia" w:hAnsiTheme="minorEastAsia" w:eastAsiaTheme="minorEastAsia" w:cstheme="minorEastAsia"/>
                        <w:sz w:val="28"/>
                      </w:rPr>
                      <w:t xml:space="preserve"> </w:t>
                    </w:r>
                    <w:r>
                      <w:rPr>
                        <w:rStyle w:val="12"/>
                        <w:rFonts w:hint="eastAsia"/>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fldChar w:fldCharType="begin"/>
    </w:r>
    <w:r>
      <w:rPr>
        <w:rStyle w:val="12"/>
      </w:rPr>
      <w:instrText xml:space="preserve">PAGE  </w:instrText>
    </w:r>
    <w:r>
      <w:fldChar w:fldCharType="end"/>
    </w:r>
  </w:p>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ind w:left="0" w:firstLine="0"/>
      </w:pPr>
      <w:rPr>
        <w:rFonts w:hint="default" w:ascii="Times New Roman" w:hAnsi="Times New Roman" w:cs="Times New Roman"/>
        <w:sz w:val="32"/>
        <w:szCs w:val="32"/>
      </w:rPr>
    </w:lvl>
    <w:lvl w:ilvl="1" w:tentative="0">
      <w:start w:val="1"/>
      <w:numFmt w:val="decimal"/>
      <w:suff w:val="space"/>
      <w:lvlText w:val="%1.%2"/>
      <w:lvlJc w:val="left"/>
      <w:pPr>
        <w:ind w:left="539" w:hanging="539"/>
      </w:pPr>
      <w:rPr>
        <w:rFonts w:hint="default" w:ascii="Times New Roman" w:hAnsi="Times New Roman" w:cs="Times New Roman"/>
      </w:rPr>
    </w:lvl>
    <w:lvl w:ilvl="2" w:tentative="0">
      <w:start w:val="1"/>
      <w:numFmt w:val="decimal"/>
      <w:pStyle w:val="2"/>
      <w:suff w:val="space"/>
      <w:lvlText w:val="%1.%2.%3"/>
      <w:lvlJc w:val="left"/>
      <w:pPr>
        <w:ind w:left="1986" w:hanging="709"/>
      </w:pPr>
      <w:rPr>
        <w:rFonts w:hint="default" w:ascii="Times New Roman" w:hAnsi="Times New Roman" w:cs="Times New Roman"/>
      </w:rPr>
    </w:lvl>
    <w:lvl w:ilvl="3" w:tentative="0">
      <w:start w:val="1"/>
      <w:numFmt w:val="decimal"/>
      <w:suff w:val="space"/>
      <w:lvlText w:val="(%4)"/>
      <w:lvlJc w:val="left"/>
      <w:pPr>
        <w:ind w:left="268" w:firstLine="442"/>
      </w:pPr>
      <w:rPr>
        <w:rFonts w:hint="eastAsia"/>
      </w:rPr>
    </w:lvl>
    <w:lvl w:ilvl="4" w:tentative="0">
      <w:start w:val="1"/>
      <w:numFmt w:val="none"/>
      <w:lvlText w:val=""/>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47119C"/>
    <w:rsid w:val="001506AE"/>
    <w:rsid w:val="003040AE"/>
    <w:rsid w:val="00326B61"/>
    <w:rsid w:val="003B06FC"/>
    <w:rsid w:val="006113EE"/>
    <w:rsid w:val="00746350"/>
    <w:rsid w:val="00827F35"/>
    <w:rsid w:val="00890DC9"/>
    <w:rsid w:val="009D5E66"/>
    <w:rsid w:val="009E35BA"/>
    <w:rsid w:val="00D476D1"/>
    <w:rsid w:val="00EA3917"/>
    <w:rsid w:val="00EF14C6"/>
    <w:rsid w:val="00FC537E"/>
    <w:rsid w:val="00FD79A1"/>
    <w:rsid w:val="00FF3EC4"/>
    <w:rsid w:val="0DB77041"/>
    <w:rsid w:val="0DD37F89"/>
    <w:rsid w:val="10F646D4"/>
    <w:rsid w:val="16822D68"/>
    <w:rsid w:val="1A00680E"/>
    <w:rsid w:val="1A6143FC"/>
    <w:rsid w:val="229307FF"/>
    <w:rsid w:val="22BA530B"/>
    <w:rsid w:val="2366466F"/>
    <w:rsid w:val="28777E0A"/>
    <w:rsid w:val="28A54197"/>
    <w:rsid w:val="297B5356"/>
    <w:rsid w:val="3981477A"/>
    <w:rsid w:val="40C015F7"/>
    <w:rsid w:val="40E805FF"/>
    <w:rsid w:val="63193087"/>
    <w:rsid w:val="675E4FBB"/>
    <w:rsid w:val="68F68A35"/>
    <w:rsid w:val="690961EB"/>
    <w:rsid w:val="6A47119C"/>
    <w:rsid w:val="73D852FA"/>
    <w:rsid w:val="FFFDFC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ind w:left="1254"/>
      <w:outlineLvl w:val="0"/>
    </w:pPr>
    <w:rPr>
      <w:rFonts w:ascii="宋体" w:hAnsi="宋体" w:eastAsia="宋体" w:cs="Times New Roman"/>
      <w:sz w:val="43"/>
      <w:szCs w:val="43"/>
    </w:rPr>
  </w:style>
  <w:style w:type="paragraph" w:styleId="2">
    <w:name w:val="heading 3"/>
    <w:basedOn w:val="1"/>
    <w:next w:val="1"/>
    <w:qFormat/>
    <w:uiPriority w:val="0"/>
    <w:pPr>
      <w:keepNext/>
      <w:keepLines/>
      <w:widowControl w:val="0"/>
      <w:numPr>
        <w:ilvl w:val="2"/>
        <w:numId w:val="1"/>
      </w:numPr>
      <w:spacing w:before="120" w:beforeLines="0" w:after="120" w:afterLines="0" w:line="240" w:lineRule="auto"/>
      <w:ind w:left="709" w:firstLineChars="0"/>
      <w:outlineLvl w:val="2"/>
    </w:pPr>
    <w:rPr>
      <w:rFonts w:ascii="Times New Roman" w:hAnsi="Times New Roman" w:eastAsia="仿宋" w:cs="Times New Roman"/>
      <w:b/>
      <w:bCs/>
      <w:kern w:val="2"/>
      <w:sz w:val="32"/>
      <w:szCs w:val="32"/>
      <w:lang w:val="en-US" w:eastAsia="en-US"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0"/>
    <w:pPr>
      <w:spacing w:line="500" w:lineRule="exact"/>
      <w:ind w:left="1102" w:leftChars="349" w:firstLine="1"/>
    </w:pPr>
  </w:style>
  <w:style w:type="paragraph" w:styleId="5">
    <w:name w:val="Body Text Indent 2"/>
    <w:basedOn w:val="1"/>
    <w:qFormat/>
    <w:uiPriority w:val="0"/>
    <w:pPr>
      <w:snapToGrid w:val="0"/>
      <w:spacing w:line="540" w:lineRule="exact"/>
      <w:ind w:left="1253" w:leftChars="100" w:hanging="938" w:hangingChars="298"/>
    </w:pPr>
    <w:rPr>
      <w:rFonts w:ascii="宋体" w:hAnsi="宋体" w:eastAsia="方正仿宋_GBK" w:cs="Times New Roma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Times New Roman" w:hAnsi="Times New Roman" w:eastAsia="宋体" w:cs="Times New Roman"/>
      <w:kern w:val="0"/>
      <w:sz w:val="24"/>
      <w:lang w:val="en-US" w:eastAsia="zh-CN" w:bidi="ar"/>
    </w:rPr>
  </w:style>
  <w:style w:type="paragraph" w:styleId="9">
    <w:name w:val="Body Text First Indent 2"/>
    <w:basedOn w:val="4"/>
    <w:next w:val="1"/>
    <w:qFormat/>
    <w:uiPriority w:val="0"/>
    <w:pPr>
      <w:ind w:firstLine="420" w:firstLineChars="200"/>
    </w:pPr>
    <w:rPr>
      <w:rFonts w:ascii="Times New Roman" w:hAnsi="Times New Roman" w:eastAsia="宋体" w:cs="Times New Roman"/>
    </w:rPr>
  </w:style>
  <w:style w:type="character" w:styleId="12">
    <w:name w:val="page number"/>
    <w:basedOn w:val="11"/>
    <w:qFormat/>
    <w:uiPriority w:val="0"/>
  </w:style>
  <w:style w:type="character" w:customStyle="1" w:styleId="13">
    <w:name w:val="font01"/>
    <w:basedOn w:val="11"/>
    <w:qFormat/>
    <w:uiPriority w:val="0"/>
    <w:rPr>
      <w:rFonts w:hint="eastAsia" w:ascii="宋体" w:hAnsi="宋体" w:eastAsia="宋体" w:cs="宋体"/>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inspur/C:\Users\lenovo\AppData\Roaming\Kingsoft\office6\templates\wps\zh_CN\&#27827;&#24220;&#2115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河府办.dot</Template>
  <Pages>2</Pages>
  <Words>151</Words>
  <Characters>160</Characters>
  <Lines>1</Lines>
  <Paragraphs>1</Paragraphs>
  <TotalTime>17</TotalTime>
  <ScaleCrop>false</ScaleCrop>
  <LinksUpToDate>false</LinksUpToDate>
  <CharactersWithSpaces>263</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2024-04-02T15:53:00Z</dcterms:created>
  <dc:creator>市府办公室电脑室</dc:creator>
  <cp:lastModifiedBy>inspur</cp:lastModifiedBy>
  <cp:lastPrinted>2024-04-02T16:21:00Z</cp:lastPrinted>
  <dcterms:modified xsi:type="dcterms:W3CDTF">2024-04-17T09:07:33Z</dcterms:modified>
  <dc:title>河府办〔2004〕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