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附件2</w:t>
      </w:r>
    </w:p>
    <w:p>
      <w:pPr>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河源市工程建设项目招投标领域联合检查表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93"/>
        <w:gridCol w:w="3083"/>
        <w:gridCol w:w="1088"/>
        <w:gridCol w:w="2962"/>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0" w:type="dxa"/>
            <w:gridSpan w:val="2"/>
            <w:vAlign w:val="center"/>
          </w:tcPr>
          <w:p>
            <w:pPr>
              <w:jc w:val="center"/>
              <w:rPr>
                <w:rFonts w:hint="eastAsia" w:ascii="黑体" w:hAnsi="黑体" w:eastAsia="黑体" w:cs="黑体"/>
                <w:color w:val="auto"/>
                <w:w w:val="105"/>
                <w:sz w:val="21"/>
                <w:szCs w:val="21"/>
                <w:highlight w:val="none"/>
                <w:lang w:val="en-US" w:eastAsia="zh-CN"/>
              </w:rPr>
            </w:pPr>
            <w:r>
              <w:rPr>
                <w:rFonts w:hint="eastAsia" w:ascii="黑体" w:hAnsi="黑体" w:eastAsia="黑体" w:cs="黑体"/>
                <w:color w:val="auto"/>
                <w:w w:val="105"/>
                <w:sz w:val="21"/>
                <w:szCs w:val="21"/>
                <w:highlight w:val="none"/>
                <w:lang w:val="en-US" w:eastAsia="zh-CN"/>
              </w:rPr>
              <w:t>招标项目名称</w:t>
            </w:r>
          </w:p>
        </w:tc>
        <w:tc>
          <w:tcPr>
            <w:tcW w:w="4171" w:type="dxa"/>
            <w:gridSpan w:val="2"/>
            <w:vAlign w:val="center"/>
          </w:tcPr>
          <w:p>
            <w:pPr>
              <w:jc w:val="center"/>
              <w:rPr>
                <w:rFonts w:hint="eastAsia" w:ascii="黑体" w:hAnsi="黑体" w:eastAsia="黑体" w:cs="黑体"/>
                <w:color w:val="auto"/>
                <w:w w:val="105"/>
                <w:sz w:val="21"/>
                <w:szCs w:val="21"/>
                <w:highlight w:val="none"/>
                <w:lang w:val="en-US" w:eastAsia="zh-CN"/>
              </w:rPr>
            </w:pPr>
          </w:p>
        </w:tc>
        <w:tc>
          <w:tcPr>
            <w:tcW w:w="2962" w:type="dxa"/>
            <w:vAlign w:val="center"/>
          </w:tcPr>
          <w:p>
            <w:pPr>
              <w:jc w:val="center"/>
              <w:rPr>
                <w:rFonts w:hint="eastAsia" w:ascii="黑体" w:hAnsi="黑体" w:eastAsia="黑体" w:cs="黑体"/>
                <w:color w:val="auto"/>
                <w:w w:val="105"/>
                <w:sz w:val="21"/>
                <w:szCs w:val="21"/>
                <w:highlight w:val="none"/>
                <w:lang w:val="en-US" w:eastAsia="zh-CN"/>
              </w:rPr>
            </w:pPr>
            <w:r>
              <w:rPr>
                <w:rFonts w:hint="eastAsia" w:ascii="黑体" w:hAnsi="黑体" w:eastAsia="黑体" w:cs="黑体"/>
                <w:color w:val="auto"/>
                <w:w w:val="105"/>
                <w:sz w:val="21"/>
                <w:szCs w:val="21"/>
                <w:highlight w:val="none"/>
                <w:lang w:val="en-US" w:eastAsia="zh-CN"/>
              </w:rPr>
              <w:t>所属地区</w:t>
            </w:r>
          </w:p>
        </w:tc>
        <w:tc>
          <w:tcPr>
            <w:tcW w:w="4635" w:type="dxa"/>
            <w:vAlign w:val="center"/>
          </w:tcPr>
          <w:p>
            <w:pPr>
              <w:jc w:val="center"/>
              <w:rPr>
                <w:rFonts w:hint="eastAsia" w:ascii="仿宋_GB2312" w:hAnsi="仿宋_GB2312" w:eastAsia="仿宋_GB2312" w:cs="仿宋_GB2312"/>
                <w:color w:val="auto"/>
                <w:w w:val="105"/>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0" w:type="dxa"/>
            <w:gridSpan w:val="2"/>
            <w:vAlign w:val="center"/>
          </w:tcPr>
          <w:p>
            <w:pPr>
              <w:jc w:val="center"/>
              <w:rPr>
                <w:rFonts w:hint="eastAsia" w:ascii="黑体" w:hAnsi="黑体" w:eastAsia="黑体" w:cs="黑体"/>
                <w:b w:val="0"/>
                <w:bCs w:val="0"/>
                <w:sz w:val="21"/>
                <w:szCs w:val="21"/>
                <w:highlight w:val="none"/>
                <w:lang w:val="en-US" w:eastAsia="zh-CN"/>
              </w:rPr>
            </w:pPr>
            <w:r>
              <w:rPr>
                <w:rFonts w:hint="eastAsia" w:ascii="黑体" w:hAnsi="黑体" w:eastAsia="黑体" w:cs="黑体"/>
                <w:color w:val="auto"/>
                <w:w w:val="105"/>
                <w:sz w:val="21"/>
                <w:szCs w:val="21"/>
                <w:highlight w:val="none"/>
                <w:lang w:val="en-US" w:eastAsia="zh-CN"/>
              </w:rPr>
              <w:t>招标人</w:t>
            </w:r>
          </w:p>
        </w:tc>
        <w:tc>
          <w:tcPr>
            <w:tcW w:w="4171" w:type="dxa"/>
            <w:gridSpan w:val="2"/>
            <w:vAlign w:val="center"/>
          </w:tcPr>
          <w:p>
            <w:pPr>
              <w:jc w:val="center"/>
              <w:rPr>
                <w:rFonts w:hint="eastAsia" w:ascii="黑体" w:hAnsi="黑体" w:eastAsia="黑体" w:cs="黑体"/>
                <w:b w:val="0"/>
                <w:bCs w:val="0"/>
                <w:sz w:val="21"/>
                <w:szCs w:val="21"/>
                <w:highlight w:val="none"/>
                <w:lang w:val="en-US" w:eastAsia="zh-CN"/>
              </w:rPr>
            </w:pPr>
          </w:p>
        </w:tc>
        <w:tc>
          <w:tcPr>
            <w:tcW w:w="2962" w:type="dxa"/>
            <w:vAlign w:val="center"/>
          </w:tcPr>
          <w:p>
            <w:pPr>
              <w:jc w:val="center"/>
              <w:rPr>
                <w:rFonts w:hint="eastAsia" w:ascii="黑体" w:hAnsi="黑体" w:eastAsia="黑体" w:cs="黑体"/>
                <w:b w:val="0"/>
                <w:bCs w:val="0"/>
                <w:sz w:val="21"/>
                <w:szCs w:val="21"/>
                <w:highlight w:val="none"/>
                <w:lang w:val="en-US" w:eastAsia="zh-CN"/>
              </w:rPr>
            </w:pPr>
            <w:r>
              <w:rPr>
                <w:rFonts w:hint="eastAsia" w:ascii="黑体" w:hAnsi="黑体" w:eastAsia="黑体" w:cs="黑体"/>
                <w:color w:val="auto"/>
                <w:w w:val="105"/>
                <w:sz w:val="21"/>
                <w:szCs w:val="21"/>
                <w:highlight w:val="none"/>
                <w:lang w:val="en-US" w:eastAsia="zh-CN"/>
              </w:rPr>
              <w:t>招标代理</w:t>
            </w:r>
          </w:p>
        </w:tc>
        <w:tc>
          <w:tcPr>
            <w:tcW w:w="4635" w:type="dxa"/>
            <w:vAlign w:val="center"/>
          </w:tcPr>
          <w:p>
            <w:pPr>
              <w:jc w:val="center"/>
              <w:rPr>
                <w:rFonts w:hint="eastAsia" w:ascii="仿宋_GB2312" w:hAnsi="仿宋_GB2312" w:eastAsia="仿宋_GB2312" w:cs="仿宋_GB2312"/>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30" w:type="dxa"/>
            <w:gridSpan w:val="2"/>
            <w:vAlign w:val="center"/>
          </w:tcPr>
          <w:p>
            <w:pPr>
              <w:jc w:val="center"/>
              <w:rPr>
                <w:rFonts w:hint="eastAsia" w:ascii="黑体" w:hAnsi="黑体" w:eastAsia="黑体" w:cs="黑体"/>
                <w:b w:val="0"/>
                <w:bCs w:val="0"/>
                <w:sz w:val="21"/>
                <w:szCs w:val="21"/>
                <w:highlight w:val="none"/>
                <w:vertAlign w:val="baseline"/>
                <w:lang w:val="en-US" w:eastAsia="zh-CN"/>
              </w:rPr>
            </w:pPr>
            <w:r>
              <w:rPr>
                <w:rFonts w:hint="eastAsia" w:ascii="黑体" w:hAnsi="黑体" w:eastAsia="黑体" w:cs="黑体"/>
                <w:color w:val="auto"/>
                <w:w w:val="105"/>
                <w:sz w:val="21"/>
                <w:szCs w:val="21"/>
                <w:highlight w:val="none"/>
                <w:lang w:val="en-US" w:eastAsia="zh-CN"/>
              </w:rPr>
              <w:t>开标时间</w:t>
            </w:r>
          </w:p>
        </w:tc>
        <w:tc>
          <w:tcPr>
            <w:tcW w:w="4171" w:type="dxa"/>
            <w:gridSpan w:val="2"/>
            <w:vAlign w:val="center"/>
          </w:tcPr>
          <w:p>
            <w:pPr>
              <w:jc w:val="center"/>
              <w:rPr>
                <w:rFonts w:hint="eastAsia" w:ascii="黑体" w:hAnsi="黑体" w:eastAsia="黑体" w:cs="黑体"/>
                <w:b w:val="0"/>
                <w:bCs w:val="0"/>
                <w:sz w:val="21"/>
                <w:szCs w:val="21"/>
                <w:highlight w:val="none"/>
                <w:vertAlign w:val="baseline"/>
                <w:lang w:val="en-US" w:eastAsia="zh-CN"/>
              </w:rPr>
            </w:pPr>
          </w:p>
        </w:tc>
        <w:tc>
          <w:tcPr>
            <w:tcW w:w="2962" w:type="dxa"/>
            <w:vAlign w:val="center"/>
          </w:tcPr>
          <w:p>
            <w:pPr>
              <w:jc w:val="center"/>
              <w:rPr>
                <w:rFonts w:hint="eastAsia" w:ascii="黑体" w:hAnsi="黑体" w:eastAsia="黑体" w:cs="黑体"/>
                <w:color w:val="auto"/>
                <w:w w:val="105"/>
                <w:sz w:val="21"/>
                <w:szCs w:val="21"/>
                <w:highlight w:val="none"/>
                <w:lang w:val="en-US" w:eastAsia="zh-CN"/>
              </w:rPr>
            </w:pPr>
            <w:r>
              <w:rPr>
                <w:rFonts w:hint="eastAsia" w:ascii="黑体" w:hAnsi="黑体" w:eastAsia="黑体" w:cs="黑体"/>
                <w:color w:val="auto"/>
                <w:w w:val="105"/>
                <w:sz w:val="21"/>
                <w:szCs w:val="21"/>
                <w:highlight w:val="none"/>
                <w:lang w:val="en-US" w:eastAsia="zh-CN"/>
              </w:rPr>
              <w:t>建设行政监</w:t>
            </w:r>
          </w:p>
          <w:p>
            <w:pPr>
              <w:jc w:val="center"/>
              <w:rPr>
                <w:rFonts w:hint="eastAsia" w:ascii="黑体" w:hAnsi="黑体" w:eastAsia="黑体" w:cs="黑体"/>
                <w:b w:val="0"/>
                <w:bCs w:val="0"/>
                <w:sz w:val="21"/>
                <w:szCs w:val="21"/>
                <w:highlight w:val="none"/>
                <w:vertAlign w:val="baseline"/>
                <w:lang w:val="en-US" w:eastAsia="zh-CN"/>
              </w:rPr>
            </w:pPr>
            <w:r>
              <w:rPr>
                <w:rFonts w:hint="eastAsia" w:ascii="黑体" w:hAnsi="黑体" w:eastAsia="黑体" w:cs="黑体"/>
                <w:color w:val="auto"/>
                <w:w w:val="105"/>
                <w:sz w:val="21"/>
                <w:szCs w:val="21"/>
                <w:highlight w:val="none"/>
                <w:lang w:val="en-US" w:eastAsia="zh-CN"/>
              </w:rPr>
              <w:t>管部门</w:t>
            </w:r>
          </w:p>
        </w:tc>
        <w:tc>
          <w:tcPr>
            <w:tcW w:w="4635" w:type="dxa"/>
            <w:vAlign w:val="center"/>
          </w:tcPr>
          <w:p>
            <w:pPr>
              <w:jc w:val="center"/>
              <w:rPr>
                <w:rFonts w:hint="eastAsia" w:ascii="仿宋_GB2312" w:hAnsi="仿宋_GB2312" w:eastAsia="仿宋_GB2312" w:cs="仿宋_GB2312"/>
                <w:b w:val="0"/>
                <w:bCs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color w:val="auto"/>
                <w:w w:val="105"/>
                <w:sz w:val="21"/>
                <w:szCs w:val="21"/>
                <w:highlight w:val="none"/>
              </w:rPr>
              <w:t>序号</w:t>
            </w:r>
          </w:p>
        </w:tc>
        <w:tc>
          <w:tcPr>
            <w:tcW w:w="4376" w:type="dxa"/>
            <w:gridSpan w:val="2"/>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color w:val="auto"/>
                <w:w w:val="105"/>
                <w:sz w:val="21"/>
                <w:szCs w:val="21"/>
                <w:highlight w:val="none"/>
              </w:rPr>
              <w:t>检查内容</w:t>
            </w:r>
          </w:p>
        </w:tc>
        <w:tc>
          <w:tcPr>
            <w:tcW w:w="4050" w:type="dxa"/>
            <w:gridSpan w:val="2"/>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color w:val="auto"/>
                <w:w w:val="105"/>
                <w:sz w:val="21"/>
                <w:szCs w:val="21"/>
                <w:highlight w:val="none"/>
              </w:rPr>
              <w:t>检查结果</w:t>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color w:val="auto"/>
                <w:w w:val="105"/>
                <w:sz w:val="21"/>
                <w:szCs w:val="21"/>
                <w:highlight w:val="none"/>
              </w:rPr>
              <w:t>检查情况描述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1</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应回避而不回避；</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2</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故意擅离职守，违规传递评标评审信息或进行非正常业务性沟通；</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3</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不按照招标文件规定的评标标准和方法评标，对依法应当否决的投标不提出否决意见或无正当理由随意否决投标，或者敷衍塞责随意评标；</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4</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私下接触投标人或相关利害关系人且存在不公正评标等违法行为，收受投标人、中介人、其他利害关系人的财物或其他好处；</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5</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向招标人征询确定中标人的意向，接受单位、个人明示暗示提出的倾向或排斥特定投标人要求；</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6</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违规打探项目信息，组织或参与围标串标；</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7</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组建或加入微信、QQ等网络通讯群组违规交流、获取项目信息，组织相关利害关系人围标串标；</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8</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评标结果公示前，</w:t>
            </w: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泄露评标委员会成员名单、评标项目情况、对投标文件的评审和比较情况、中标候选人的推荐情况和评标结果；</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eastAsia"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9</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主动透露或泄露在评标过程中知悉的国家秘密和商业秘密以及与评标评审有关情况；</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7" w:type="dxa"/>
            <w:vAlign w:val="center"/>
          </w:tcPr>
          <w:p>
            <w:pPr>
              <w:jc w:val="center"/>
              <w:rPr>
                <w:rFonts w:hint="default"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10</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评标专家</w:t>
            </w:r>
            <w:r>
              <w:rPr>
                <w:rFonts w:hint="eastAsia" w:ascii="仿宋_GB2312" w:hAnsi="仿宋_GB2312" w:eastAsia="仿宋_GB2312" w:cs="仿宋_GB2312"/>
                <w:color w:val="auto"/>
                <w:w w:val="105"/>
                <w:sz w:val="21"/>
                <w:szCs w:val="21"/>
                <w:highlight w:val="none"/>
              </w:rPr>
              <w:t>在合法的评标劳务费之外额外索取、接受酬劳；</w:t>
            </w:r>
          </w:p>
        </w:tc>
        <w:tc>
          <w:tcPr>
            <w:tcW w:w="4050" w:type="dxa"/>
            <w:gridSpan w:val="2"/>
            <w:vAlign w:val="center"/>
          </w:tcPr>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left"/>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left"/>
              <w:rPr>
                <w:rFonts w:hint="eastAsia" w:ascii="仿宋_GB2312" w:hAnsi="仿宋_GB2312" w:eastAsia="仿宋_GB2312" w:cs="仿宋_GB2312"/>
                <w:color w:val="auto"/>
                <w:w w:val="105"/>
                <w:sz w:val="21"/>
                <w:szCs w:val="21"/>
                <w:highlight w:val="none"/>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color w:val="auto"/>
                <w:w w:val="105"/>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37" w:type="dxa"/>
            <w:vAlign w:val="center"/>
          </w:tcPr>
          <w:p>
            <w:pPr>
              <w:jc w:val="center"/>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11</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要求投标人在本地注册设立子公司、分公司、分支机构，在本地拥有一定办公面积，在本地缴纳社会保险等。</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12</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lang w:val="en-US" w:eastAsia="zh-CN"/>
              </w:rPr>
              <w:t>限定或者指定特定的专利、商标、品牌、零部件、原产地、供应商或者检验检测认证机构（法律法规有明确要求的除外）。</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13</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设定明显超出招标项目具体特点和实际需要的过高的资质资格、技术、商务条件或者业绩、奖项要求。</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14</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将国家或我省已经明令取消、废止或失效的资质资格作为投标条件、加分条件、中标条件；在国家或我省已经明令取消、废止或失效资质资格的领域，将其他资质资格作为投标条件、加分条件、中标条件。</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15</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将特定行政区域、特定行业的业绩、奖项作为投标条件、加分条件、中标条件；将政府部门、行业协会商会或者其他机构对投标人作出的荣誉奖励和慈善公益证明等作为投标条件、中标条件。</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16</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设定企业股东背景、年平均承接项目数量或者金额、从业人员、纳税额、营业场所面积等规模条件；设置超过项目实际需要的企业注册资本、资产总额、净资产规模、营业收入、利润、授信额度等财务指标。</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37"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17</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简单以注册人员、业绩数量等规模条件或者特定行政区域的业绩奖项评价企业的信用等级，或者设置对不同所有制企业构成歧视的信用评价指标。</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37" w:type="dxa"/>
            <w:vAlign w:val="center"/>
          </w:tcPr>
          <w:p>
            <w:pPr>
              <w:jc w:val="center"/>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18</w:t>
            </w:r>
          </w:p>
        </w:tc>
        <w:tc>
          <w:tcPr>
            <w:tcW w:w="4376" w:type="dxa"/>
            <w:gridSpan w:val="2"/>
            <w:vAlign w:val="center"/>
          </w:tcPr>
          <w:p>
            <w:pPr>
              <w:jc w:val="left"/>
              <w:rPr>
                <w:rFonts w:hint="default" w:ascii="仿宋_GB2312" w:hAnsi="仿宋_GB2312" w:eastAsia="仿宋_GB2312" w:cs="仿宋_GB2312"/>
                <w:color w:val="auto"/>
                <w:w w:val="105"/>
                <w:sz w:val="21"/>
                <w:szCs w:val="21"/>
                <w:highlight w:val="none"/>
                <w:lang w:val="en-US" w:eastAsia="zh-CN"/>
              </w:rPr>
            </w:pPr>
            <w:r>
              <w:rPr>
                <w:rFonts w:hint="eastAsia" w:ascii="仿宋_GB2312" w:hAnsi="仿宋_GB2312" w:eastAsia="仿宋_GB2312" w:cs="仿宋_GB2312"/>
                <w:color w:val="auto"/>
                <w:w w:val="105"/>
                <w:sz w:val="21"/>
                <w:szCs w:val="21"/>
                <w:highlight w:val="none"/>
                <w:lang w:val="en-US" w:eastAsia="zh-CN"/>
              </w:rPr>
              <w:t>涉及保证金的不合理限制措施。</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837" w:type="dxa"/>
            <w:vAlign w:val="center"/>
          </w:tcPr>
          <w:p>
            <w:pPr>
              <w:jc w:val="center"/>
              <w:rPr>
                <w:rFonts w:hint="default"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19</w:t>
            </w:r>
          </w:p>
        </w:tc>
        <w:tc>
          <w:tcPr>
            <w:tcW w:w="4376" w:type="dxa"/>
            <w:gridSpan w:val="2"/>
            <w:vAlign w:val="center"/>
          </w:tcPr>
          <w:p>
            <w:pPr>
              <w:jc w:val="left"/>
              <w:rPr>
                <w:rFonts w:hint="eastAsia" w:ascii="仿宋_GB2312" w:hAnsi="仿宋_GB2312" w:eastAsia="仿宋_GB2312" w:cs="仿宋_GB2312"/>
                <w:color w:val="auto"/>
                <w:w w:val="105"/>
                <w:kern w:val="2"/>
                <w:sz w:val="21"/>
                <w:szCs w:val="21"/>
                <w:highlight w:val="none"/>
                <w:lang w:val="en-US" w:eastAsia="zh-CN" w:bidi="ar-SA"/>
              </w:rPr>
            </w:pPr>
            <w:r>
              <w:rPr>
                <w:rFonts w:hint="eastAsia" w:ascii="仿宋_GB2312" w:hAnsi="仿宋_GB2312" w:eastAsia="仿宋_GB2312" w:cs="仿宋_GB2312"/>
                <w:color w:val="auto"/>
                <w:w w:val="105"/>
                <w:sz w:val="21"/>
                <w:szCs w:val="21"/>
                <w:highlight w:val="none"/>
              </w:rPr>
              <w:t>其他</w:t>
            </w:r>
            <w:r>
              <w:rPr>
                <w:rFonts w:hint="eastAsia" w:ascii="仿宋_GB2312" w:hAnsi="仿宋_GB2312" w:eastAsia="仿宋_GB2312" w:cs="仿宋_GB2312"/>
                <w:color w:val="auto"/>
                <w:w w:val="105"/>
                <w:sz w:val="21"/>
                <w:szCs w:val="21"/>
                <w:highlight w:val="none"/>
                <w:lang w:val="en-US" w:eastAsia="zh-CN"/>
              </w:rPr>
              <w:t>违法违规</w:t>
            </w:r>
            <w:r>
              <w:rPr>
                <w:rFonts w:hint="eastAsia" w:ascii="仿宋_GB2312" w:hAnsi="仿宋_GB2312" w:eastAsia="仿宋_GB2312" w:cs="仿宋_GB2312"/>
                <w:color w:val="auto"/>
                <w:w w:val="105"/>
                <w:sz w:val="21"/>
                <w:szCs w:val="21"/>
                <w:highlight w:val="none"/>
              </w:rPr>
              <w:t>的情形。</w:t>
            </w:r>
          </w:p>
        </w:tc>
        <w:tc>
          <w:tcPr>
            <w:tcW w:w="4050" w:type="dxa"/>
            <w:gridSpan w:val="2"/>
            <w:vAlign w:val="center"/>
          </w:tcPr>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查实存在违法违规情形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p>
            <w:pPr>
              <w:jc w:val="both"/>
              <w:rPr>
                <w:rFonts w:hint="eastAsia" w:ascii="仿宋_GB2312" w:hAnsi="仿宋_GB2312" w:eastAsia="仿宋_GB2312" w:cs="仿宋_GB2312"/>
                <w:b w:val="0"/>
                <w:bCs w:val="0"/>
                <w:color w:val="auto"/>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涉嫌存在违法违规情形，需进一步核实 </w:t>
            </w:r>
          </w:p>
          <w:p>
            <w:pPr>
              <w:jc w:val="both"/>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color w:val="auto"/>
                <w:sz w:val="21"/>
                <w:szCs w:val="21"/>
                <w:highlight w:val="none"/>
                <w:vertAlign w:val="baseline"/>
                <w:lang w:val="en-US" w:eastAsia="zh-CN"/>
              </w:rPr>
              <w:t xml:space="preserve">未发现违法违规情形 </w:t>
            </w:r>
            <w:r>
              <w:rPr>
                <w:rFonts w:hint="eastAsia" w:ascii="仿宋_GB2312" w:hAnsi="仿宋_GB2312" w:eastAsia="仿宋_GB2312" w:cs="仿宋_GB2312"/>
                <w:b w:val="0"/>
                <w:bCs w:val="0"/>
                <w:color w:val="auto"/>
                <w:sz w:val="21"/>
                <w:szCs w:val="21"/>
                <w:highlight w:val="none"/>
                <w:vertAlign w:val="baseline"/>
                <w:lang w:val="en-US" w:eastAsia="zh-CN"/>
              </w:rPr>
              <w:sym w:font="Times New Roman" w:char="0000"/>
            </w:r>
          </w:p>
        </w:tc>
        <w:tc>
          <w:tcPr>
            <w:tcW w:w="4635" w:type="dxa"/>
            <w:vAlign w:val="center"/>
          </w:tcPr>
          <w:p>
            <w:pPr>
              <w:jc w:val="center"/>
              <w:rPr>
                <w:rFonts w:hint="eastAsia" w:ascii="仿宋_GB2312" w:hAnsi="仿宋_GB2312" w:eastAsia="仿宋_GB2312" w:cs="仿宋_GB2312"/>
                <w:b w:val="0"/>
                <w:bCs w:val="0"/>
                <w:color w:val="auto"/>
                <w:sz w:val="21"/>
                <w:szCs w:val="21"/>
                <w:highlight w:val="none"/>
                <w:vertAlign w:val="baseline"/>
                <w:lang w:val="en-US" w:eastAsia="zh-CN"/>
              </w:rPr>
            </w:pPr>
          </w:p>
        </w:tc>
      </w:tr>
    </w:tbl>
    <w:p>
      <w:pPr>
        <w:jc w:val="lef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检查单位：                        （盖章）</w:t>
      </w:r>
    </w:p>
    <w:p>
      <w:pPr>
        <w:jc w:val="lef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检查方式：</w:t>
      </w: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sz w:val="21"/>
          <w:szCs w:val="21"/>
          <w:highlight w:val="none"/>
          <w:lang w:val="en-US" w:eastAsia="zh-CN"/>
        </w:rPr>
        <w:t>实地检查</w:t>
      </w: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sz w:val="21"/>
          <w:szCs w:val="21"/>
          <w:highlight w:val="none"/>
          <w:lang w:val="en-US" w:eastAsia="zh-CN"/>
        </w:rPr>
        <w:t>书面检查</w:t>
      </w:r>
      <w:r>
        <w:rPr>
          <w:rFonts w:hint="eastAsia" w:ascii="仿宋_GB2312" w:hAnsi="仿宋_GB2312" w:eastAsia="仿宋_GB2312" w:cs="仿宋_GB2312"/>
          <w:b w:val="0"/>
          <w:bCs w:val="0"/>
          <w:sz w:val="21"/>
          <w:szCs w:val="21"/>
          <w:highlight w:val="none"/>
          <w:lang w:val="en-US" w:eastAsia="zh-CN"/>
        </w:rPr>
        <w:sym w:font="Wingdings" w:char="00A8"/>
      </w:r>
      <w:r>
        <w:rPr>
          <w:rFonts w:hint="eastAsia" w:ascii="仿宋_GB2312" w:hAnsi="仿宋_GB2312" w:eastAsia="仿宋_GB2312" w:cs="仿宋_GB2312"/>
          <w:b w:val="0"/>
          <w:bCs w:val="0"/>
          <w:sz w:val="21"/>
          <w:szCs w:val="21"/>
          <w:highlight w:val="none"/>
          <w:lang w:val="en-US" w:eastAsia="zh-CN"/>
        </w:rPr>
        <w:t>网络监测或其组合</w:t>
      </w:r>
    </w:p>
    <w:p>
      <w:pPr>
        <w:jc w:val="lef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检查人员（签名）：                               完成检查日期 ：</w:t>
      </w:r>
    </w:p>
    <w:p>
      <w:pPr>
        <w:ind w:firstLine="420" w:firstLineChars="200"/>
        <w:jc w:val="left"/>
        <w:rPr>
          <w:rFonts w:hint="default"/>
          <w:sz w:val="21"/>
          <w:szCs w:val="21"/>
          <w:lang w:val="en-US" w:eastAsia="zh-CN"/>
        </w:rPr>
      </w:pPr>
      <w:r>
        <w:rPr>
          <w:rFonts w:hint="eastAsia" w:ascii="仿宋_GB2312" w:hAnsi="仿宋_GB2312" w:eastAsia="仿宋_GB2312" w:cs="仿宋_GB2312"/>
          <w:b w:val="0"/>
          <w:bCs w:val="0"/>
          <w:sz w:val="21"/>
          <w:szCs w:val="21"/>
          <w:highlight w:val="none"/>
          <w:lang w:val="en-US" w:eastAsia="zh-CN"/>
        </w:rPr>
        <w:t>备注： 招标投标活动检查内容不局限于表内所列事项，各招标投标行政监督部门可根据实际情况调整和增加检查内容，调整检查表单格。</w:t>
      </w:r>
    </w:p>
    <w:sectPr>
      <w:footerReference r:id="rId3" w:type="default"/>
      <w:pgSz w:w="16838" w:h="11906" w:orient="landscape"/>
      <w:pgMar w:top="1417" w:right="1531" w:bottom="141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M2UzN2FmZTlhNjRjYzlhN2IwMzUxNzJmN2JlMGYifQ=="/>
  </w:docVars>
  <w:rsids>
    <w:rsidRoot w:val="027008E5"/>
    <w:rsid w:val="027008E5"/>
    <w:rsid w:val="05FA2DD9"/>
    <w:rsid w:val="085E3644"/>
    <w:rsid w:val="08996F1B"/>
    <w:rsid w:val="0C0E2758"/>
    <w:rsid w:val="114F21EA"/>
    <w:rsid w:val="139615C6"/>
    <w:rsid w:val="26952F42"/>
    <w:rsid w:val="2D7B034D"/>
    <w:rsid w:val="35C63A88"/>
    <w:rsid w:val="3DFB9A1F"/>
    <w:rsid w:val="451E3E2C"/>
    <w:rsid w:val="46C163B5"/>
    <w:rsid w:val="48A456DA"/>
    <w:rsid w:val="48F440E7"/>
    <w:rsid w:val="49A64274"/>
    <w:rsid w:val="55C0721D"/>
    <w:rsid w:val="5E0830E7"/>
    <w:rsid w:val="64477839"/>
    <w:rsid w:val="658729D1"/>
    <w:rsid w:val="6BEFEFAD"/>
    <w:rsid w:val="77FE7664"/>
    <w:rsid w:val="7D4C75A5"/>
    <w:rsid w:val="7E87229C"/>
    <w:rsid w:val="B33CFE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outlineLvl w:val="0"/>
    </w:pPr>
    <w:rPr>
      <w:rFonts w:eastAsia="黑体"/>
      <w:bCs/>
      <w:kern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jc w:val="left"/>
    </w:pPr>
    <w:rPr>
      <w:rFonts w:eastAsia="仿宋_GB2312" w:asciiTheme="minorHAnsi" w:hAnsiTheme="minorHAnsi" w:cstheme="minorBidi"/>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文本 (2)"/>
    <w:basedOn w:val="1"/>
    <w:qFormat/>
    <w:uiPriority w:val="0"/>
    <w:pPr>
      <w:shd w:val="clear" w:color="auto" w:fill="FFFFFF"/>
      <w:spacing w:before="420" w:line="562" w:lineRule="exact"/>
      <w:ind w:hanging="1360"/>
      <w:jc w:val="distribute"/>
    </w:pPr>
    <w:rPr>
      <w:rFonts w:ascii="宋体" w:hAnsi="宋体" w:eastAsia="宋体" w:cs="宋体"/>
      <w:spacing w:val="3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1785</Words>
  <Characters>1795</Characters>
  <Lines>0</Lines>
  <Paragraphs>0</Paragraphs>
  <TotalTime>1</TotalTime>
  <ScaleCrop>false</ScaleCrop>
  <LinksUpToDate>false</LinksUpToDate>
  <CharactersWithSpaces>1907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2019-10-30T02:36:00Z</dcterms:created>
  <dc:creator>君</dc:creator>
  <cp:lastModifiedBy>huawei</cp:lastModifiedBy>
  <cp:lastPrinted>2022-12-16T08:43:00Z</cp:lastPrinted>
  <dcterms:modified xsi:type="dcterms:W3CDTF">2024-07-25T16:23:37Z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788958808C0347B487CFD8D2B366FAD5_13</vt:lpwstr>
  </property>
</Properties>
</file>