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pPr>
        <w:spacing w:line="60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河源市知识产权金融创新促进项目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申报指南</w:t>
      </w:r>
    </w:p>
    <w:p>
      <w:pPr>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lang w:val="en-US" w:eastAsia="zh-CN"/>
        </w:rPr>
      </w:pPr>
    </w:p>
    <w:p>
      <w:pPr>
        <w:pageBreakBefore w:val="0"/>
        <w:widowControl w:val="0"/>
        <w:numPr>
          <w:ilvl w:val="-1"/>
          <w:numId w:val="0"/>
        </w:numPr>
        <w:kinsoku/>
        <w:wordWrap/>
        <w:overflowPunct/>
        <w:topLinePunct w:val="0"/>
        <w:bidi w:val="0"/>
        <w:adjustRightInd w:val="0"/>
        <w:snapToGrid w:val="0"/>
        <w:spacing w:beforeLines="0" w:afterLines="0" w:line="600" w:lineRule="exact"/>
        <w:ind w:firstLine="640" w:firstLineChars="200"/>
        <w:textAlignment w:val="auto"/>
        <w:rPr>
          <w:rFonts w:hint="eastAsia" w:eastAsia="黑体"/>
          <w:sz w:val="32"/>
        </w:rPr>
      </w:pPr>
      <w:r>
        <w:rPr>
          <w:rFonts w:hint="eastAsia" w:eastAsia="黑体"/>
          <w:sz w:val="32"/>
          <w:lang w:val="en-US" w:eastAsia="zh-CN"/>
        </w:rPr>
        <w:t>一、</w:t>
      </w:r>
      <w:r>
        <w:rPr>
          <w:rFonts w:hint="eastAsia" w:eastAsia="黑体"/>
          <w:sz w:val="32"/>
        </w:rPr>
        <w:t>项目名称</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2025年河源市</w:t>
      </w:r>
      <w:r>
        <w:rPr>
          <w:rFonts w:hint="eastAsia" w:ascii="仿宋_GB2312" w:hAnsi="仿宋_GB2312" w:eastAsia="仿宋_GB2312" w:cs="仿宋_GB2312"/>
          <w:sz w:val="32"/>
        </w:rPr>
        <w:t>知识产权</w:t>
      </w:r>
      <w:r>
        <w:rPr>
          <w:rFonts w:hint="eastAsia" w:ascii="仿宋_GB2312" w:hAnsi="仿宋_GB2312" w:eastAsia="仿宋_GB2312" w:cs="仿宋_GB2312"/>
          <w:color w:val="auto"/>
          <w:sz w:val="32"/>
          <w:szCs w:val="32"/>
          <w:lang w:val="en-US" w:eastAsia="zh-CN"/>
        </w:rPr>
        <w:t>金融创新促进项目</w:t>
      </w:r>
    </w:p>
    <w:p>
      <w:pPr>
        <w:pageBreakBefore w:val="0"/>
        <w:widowControl w:val="0"/>
        <w:numPr>
          <w:ilvl w:val="-1"/>
          <w:numId w:val="0"/>
        </w:numPr>
        <w:kinsoku/>
        <w:wordWrap/>
        <w:overflowPunct/>
        <w:topLinePunct w:val="0"/>
        <w:bidi w:val="0"/>
        <w:adjustRightInd w:val="0"/>
        <w:snapToGrid w:val="0"/>
        <w:spacing w:beforeLines="0" w:afterLines="0" w:line="600" w:lineRule="exact"/>
        <w:ind w:left="0" w:leftChars="0" w:firstLine="640" w:firstLineChars="200"/>
        <w:textAlignment w:val="auto"/>
        <w:rPr>
          <w:rFonts w:hint="eastAsia" w:eastAsia="黑体"/>
          <w:sz w:val="32"/>
        </w:rPr>
      </w:pPr>
      <w:r>
        <w:rPr>
          <w:rFonts w:hint="eastAsia" w:eastAsia="黑体"/>
          <w:sz w:val="32"/>
          <w:lang w:val="en-US" w:eastAsia="zh-CN"/>
        </w:rPr>
        <w:t>二、</w:t>
      </w:r>
      <w:r>
        <w:rPr>
          <w:rFonts w:hint="eastAsia" w:eastAsia="黑体"/>
          <w:sz w:val="32"/>
        </w:rPr>
        <w:t>项目目标</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深入推进</w:t>
      </w:r>
      <w:r>
        <w:rPr>
          <w:rFonts w:hint="eastAsia" w:ascii="仿宋_GB2312" w:hAnsi="仿宋_GB2312" w:eastAsia="仿宋_GB2312" w:cs="仿宋_GB2312"/>
          <w:sz w:val="32"/>
        </w:rPr>
        <w:t>知识产权质押融资工作，</w:t>
      </w:r>
      <w:r>
        <w:rPr>
          <w:rFonts w:hint="eastAsia" w:ascii="仿宋_GB2312" w:hAnsi="仿宋_GB2312" w:eastAsia="仿宋_GB2312" w:cs="仿宋_GB2312"/>
          <w:sz w:val="32"/>
          <w:szCs w:val="32"/>
          <w:lang w:val="en-US" w:eastAsia="zh-CN"/>
        </w:rPr>
        <w:t>加大质押融资政策宣传力度和融资产品推介力度，联合银行机构等举办知识产权质押融资“入园惠企”专项对接活动及业务培训，推动金融机构创新知识产权金融产品，促使中小微企业与金融机构达成合作意向，</w:t>
      </w:r>
      <w:r>
        <w:rPr>
          <w:rFonts w:hint="eastAsia" w:ascii="仿宋_GB2312" w:hAnsi="仿宋_GB2312" w:eastAsia="仿宋_GB2312" w:cs="仿宋_GB2312"/>
          <w:kern w:val="2"/>
          <w:sz w:val="32"/>
          <w:szCs w:val="32"/>
          <w:lang w:val="en-US" w:eastAsia="zh-CN" w:bidi="ar-SA"/>
        </w:rPr>
        <w:t>助力完成知识产权质押融资年度工作目标任务</w:t>
      </w:r>
      <w:r>
        <w:rPr>
          <w:rFonts w:hint="eastAsia" w:ascii="仿宋_GB2312" w:hAnsi="仿宋_GB2312" w:eastAsia="仿宋_GB2312" w:cs="仿宋_GB2312"/>
          <w:sz w:val="32"/>
          <w:szCs w:val="32"/>
          <w:lang w:val="en-US" w:eastAsia="zh-CN"/>
        </w:rPr>
        <w:t>。推广数据知识产权运用，开展数据知识产权金融服务。</w:t>
      </w:r>
    </w:p>
    <w:p>
      <w:pPr>
        <w:pageBreakBefore w:val="0"/>
        <w:widowControl w:val="0"/>
        <w:numPr>
          <w:ilvl w:val="-1"/>
          <w:numId w:val="0"/>
        </w:numPr>
        <w:kinsoku/>
        <w:wordWrap/>
        <w:overflowPunct/>
        <w:topLinePunct w:val="0"/>
        <w:bidi w:val="0"/>
        <w:spacing w:beforeLines="0" w:afterLines="0" w:line="600" w:lineRule="exact"/>
        <w:ind w:left="0" w:leftChars="0" w:firstLine="640" w:firstLineChars="200"/>
        <w:textAlignment w:val="auto"/>
        <w:rPr>
          <w:rFonts w:hint="eastAsia" w:eastAsia="黑体"/>
          <w:sz w:val="32"/>
        </w:rPr>
      </w:pPr>
      <w:r>
        <w:rPr>
          <w:rFonts w:hint="eastAsia" w:eastAsia="黑体"/>
          <w:sz w:val="32"/>
          <w:lang w:val="en-US" w:eastAsia="zh-CN"/>
        </w:rPr>
        <w:t>三、</w:t>
      </w:r>
      <w:r>
        <w:rPr>
          <w:rFonts w:hint="eastAsia" w:eastAsia="黑体"/>
          <w:sz w:val="32"/>
        </w:rPr>
        <w:t>项目任务</w:t>
      </w:r>
    </w:p>
    <w:p>
      <w:pPr>
        <w:pageBreakBefore w:val="0"/>
        <w:widowControl w:val="0"/>
        <w:numPr>
          <w:ilvl w:val="0"/>
          <w:numId w:val="0"/>
        </w:numPr>
        <w:kinsoku/>
        <w:wordWrap/>
        <w:overflowPunct/>
        <w:topLinePunct w:val="0"/>
        <w:bidi w:val="0"/>
        <w:adjustRightInd w:val="0"/>
        <w:snapToGrid w:val="0"/>
        <w:spacing w:beforeLines="0" w:afterLines="0" w:line="600" w:lineRule="exact"/>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（一）</w:t>
      </w:r>
      <w:r>
        <w:rPr>
          <w:rFonts w:hint="eastAsia" w:ascii="仿宋_GB2312" w:hAnsi="仿宋_GB2312" w:eastAsia="仿宋_GB2312" w:cs="仿宋_GB2312"/>
          <w:b w:val="0"/>
          <w:bCs/>
          <w:sz w:val="32"/>
          <w:szCs w:val="32"/>
          <w:u w:val="none"/>
          <w:lang w:val="en-US" w:eastAsia="zh-CN"/>
        </w:rPr>
        <w:t>推动知识产权质押融资服务。深入调查重点客户知识产权投融资需求，建立与银行、担保、风投、评估及运营等机构多方合作机制，</w:t>
      </w:r>
      <w:r>
        <w:rPr>
          <w:rFonts w:hint="eastAsia" w:ascii="仿宋_GB2312" w:hAnsi="仿宋_GB2312" w:eastAsia="仿宋_GB2312" w:cs="仿宋_GB2312"/>
          <w:sz w:val="32"/>
          <w:lang w:val="en-US" w:eastAsia="zh-CN"/>
        </w:rPr>
        <w:t>组织专家走访不少于50家有代表性的科技型企业等，收集企业知识产权质押融资意向需求，</w:t>
      </w:r>
      <w:r>
        <w:rPr>
          <w:rFonts w:hint="eastAsia" w:ascii="仿宋_GB2312" w:hAnsi="仿宋_GB2312" w:eastAsia="仿宋_GB2312" w:cs="仿宋_GB2312"/>
          <w:sz w:val="32"/>
        </w:rPr>
        <w:t>建立企业知识产权融资需求和金融机构相关融资产品常态化调查机制，形成知识产权融资项目库和产品资源库。</w:t>
      </w:r>
    </w:p>
    <w:p>
      <w:pPr>
        <w:pageBreakBefore w:val="0"/>
        <w:widowControl w:val="0"/>
        <w:numPr>
          <w:ilvl w:val="0"/>
          <w:numId w:val="0"/>
        </w:numPr>
        <w:kinsoku/>
        <w:wordWrap/>
        <w:overflowPunct/>
        <w:topLinePunct w:val="0"/>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（二）推动知识产权质押融资工作。</w:t>
      </w:r>
      <w:r>
        <w:rPr>
          <w:rFonts w:hint="eastAsia" w:ascii="仿宋_GB2312" w:hAnsi="仿宋_GB2312" w:eastAsia="仿宋_GB2312" w:cs="仿宋_GB2312"/>
          <w:sz w:val="32"/>
        </w:rPr>
        <w:t>结合知识产权宣传周、“知识产权服务万里行”等重大活动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在</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个</w:t>
      </w:r>
      <w:r>
        <w:rPr>
          <w:rFonts w:hint="eastAsia" w:ascii="仿宋_GB2312" w:hAnsi="仿宋_GB2312" w:eastAsia="仿宋_GB2312" w:cs="仿宋_GB2312"/>
          <w:sz w:val="32"/>
          <w:lang w:eastAsia="zh-CN"/>
        </w:rPr>
        <w:t>以上</w:t>
      </w:r>
      <w:r>
        <w:rPr>
          <w:rFonts w:hint="eastAsia" w:ascii="仿宋_GB2312" w:hAnsi="仿宋_GB2312" w:eastAsia="仿宋_GB2312" w:cs="仿宋_GB2312"/>
          <w:sz w:val="32"/>
        </w:rPr>
        <w:t>园区开展</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场以上知识产权质押融资</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入园惠企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专项对接活动</w:t>
      </w:r>
      <w:r>
        <w:rPr>
          <w:rFonts w:hint="eastAsia" w:ascii="仿宋_GB2312" w:hAnsi="仿宋_GB2312" w:eastAsia="仿宋_GB2312" w:cs="仿宋_GB2312"/>
          <w:sz w:val="32"/>
          <w:lang w:eastAsia="zh-CN"/>
        </w:rPr>
        <w:t>及相关业务培训</w:t>
      </w:r>
      <w:r>
        <w:rPr>
          <w:rFonts w:hint="eastAsia" w:ascii="仿宋_GB2312" w:hAnsi="仿宋_GB2312" w:eastAsia="仿宋_GB2312" w:cs="仿宋_GB2312"/>
          <w:sz w:val="32"/>
        </w:rPr>
        <w:t>，</w:t>
      </w:r>
      <w:r>
        <w:rPr>
          <w:rFonts w:hint="eastAsia" w:ascii="仿宋_GB2312" w:hAnsi="仿宋_GB2312" w:eastAsia="仿宋_GB2312" w:cs="仿宋_GB2312"/>
          <w:color w:val="auto"/>
          <w:sz w:val="32"/>
          <w:lang w:val="en-US" w:eastAsia="zh-CN"/>
        </w:rPr>
        <w:t>每场参加人员不少于50人，</w:t>
      </w:r>
      <w:r>
        <w:rPr>
          <w:rFonts w:hint="eastAsia" w:ascii="仿宋_GB2312" w:hAnsi="仿宋_GB2312" w:eastAsia="仿宋_GB2312" w:cs="仿宋_GB2312"/>
          <w:sz w:val="32"/>
        </w:rPr>
        <w:t>加大</w:t>
      </w:r>
      <w:r>
        <w:rPr>
          <w:rFonts w:hint="eastAsia" w:ascii="仿宋_GB2312" w:hAnsi="仿宋_GB2312" w:eastAsia="仿宋_GB2312" w:cs="仿宋_GB2312"/>
          <w:sz w:val="32"/>
          <w:lang w:val="en-US" w:eastAsia="zh-CN"/>
        </w:rPr>
        <w:t>质押融资扶持</w:t>
      </w:r>
      <w:r>
        <w:rPr>
          <w:rFonts w:hint="eastAsia" w:ascii="仿宋_GB2312" w:hAnsi="仿宋_GB2312" w:eastAsia="仿宋_GB2312" w:cs="仿宋_GB2312"/>
          <w:sz w:val="32"/>
        </w:rPr>
        <w:t>政策宣讲和融资产品推介力度。</w:t>
      </w:r>
      <w:r>
        <w:rPr>
          <w:rFonts w:hint="eastAsia" w:ascii="仿宋_GB2312" w:hAnsi="仿宋_GB2312" w:eastAsia="仿宋_GB2312" w:cs="仿宋_GB2312"/>
          <w:sz w:val="32"/>
          <w:lang w:val="en-US" w:eastAsia="zh-CN"/>
        </w:rPr>
        <w:t>积极推动知识产权金融工作，扩大知识产权质押融资受惠面，</w:t>
      </w:r>
      <w:r>
        <w:rPr>
          <w:rFonts w:hint="eastAsia" w:ascii="仿宋_GB2312" w:hAnsi="仿宋_GB2312" w:eastAsia="仿宋_GB2312" w:cs="仿宋_GB2312"/>
          <w:kern w:val="2"/>
          <w:sz w:val="32"/>
          <w:szCs w:val="32"/>
          <w:lang w:val="en-US" w:eastAsia="zh-CN" w:bidi="ar-SA"/>
        </w:rPr>
        <w:t>助力完成知识产权质押融资年度工作目标任务</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Lines="-2147483648" w:afterLines="-2147483648"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szCs w:val="32"/>
          <w:lang w:val="en-US" w:eastAsia="zh-CN"/>
        </w:rPr>
        <w:t>推广数据知识产权运用。</w:t>
      </w:r>
      <w:r>
        <w:rPr>
          <w:rFonts w:hint="eastAsia" w:ascii="仿宋_GB2312" w:hAnsi="仿宋_GB2312" w:eastAsia="仿宋_GB2312" w:cs="仿宋_GB2312"/>
          <w:sz w:val="32"/>
          <w:lang w:val="en-US" w:eastAsia="zh-CN"/>
        </w:rPr>
        <w:t>结合河源市发展现状及数据知识产权登记情况，加快构建数据知识产权交易运用生态，推动数据知识产权交易运营，开展数据知识产权金融服务</w:t>
      </w:r>
      <w:r>
        <w:rPr>
          <w:rFonts w:hint="eastAsia" w:ascii="仿宋_GB2312" w:hAnsi="仿宋_GB2312" w:eastAsia="仿宋_GB2312" w:cs="仿宋_GB2312"/>
          <w:sz w:val="32"/>
        </w:rPr>
        <w:t>。</w:t>
      </w:r>
    </w:p>
    <w:p>
      <w:pPr>
        <w:keepNext w:val="0"/>
        <w:keepLines w:val="0"/>
        <w:pageBreakBefore w:val="0"/>
        <w:widowControl/>
        <w:numPr>
          <w:ilvl w:val="-1"/>
          <w:numId w:val="0"/>
        </w:numPr>
        <w:kinsoku/>
        <w:wordWrap/>
        <w:overflowPunct/>
        <w:topLinePunct w:val="0"/>
        <w:autoSpaceDE/>
        <w:autoSpaceDN/>
        <w:bidi w:val="0"/>
        <w:adjustRightInd/>
        <w:snapToGrid/>
        <w:spacing w:beforeLines="-2147483648" w:afterLines="-2147483648"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rPr>
        <w:t>（四）促进知识产权推广运用。引导并协助组织10家以上河源市创新主体积极</w:t>
      </w:r>
      <w:r>
        <w:rPr>
          <w:rFonts w:hint="eastAsia" w:ascii="仿宋_GB2312" w:hAnsi="仿宋_GB2312" w:eastAsia="仿宋_GB2312" w:cs="仿宋_GB2312"/>
          <w:color w:val="auto"/>
          <w:sz w:val="32"/>
          <w:szCs w:val="32"/>
          <w:u w:val="none"/>
          <w:lang w:val="en-US" w:eastAsia="zh-CN"/>
        </w:rPr>
        <w:t>参与粤港澳大湾区高价值商标品牌培育大赛、粤东西北知识产权创新创业大赛、知识产权交易博览会等各类赛事、大型展会活动</w:t>
      </w:r>
      <w:r>
        <w:rPr>
          <w:rFonts w:hint="eastAsia" w:ascii="仿宋_GB2312" w:hAnsi="仿宋_GB2312" w:eastAsia="仿宋_GB2312" w:cs="仿宋_GB2312"/>
          <w:color w:val="auto"/>
          <w:sz w:val="32"/>
          <w:szCs w:val="32"/>
          <w:lang w:val="en-US" w:eastAsia="zh-CN"/>
        </w:rPr>
        <w:t>。制作发布1个宣传视频，</w:t>
      </w:r>
      <w:r>
        <w:rPr>
          <w:rFonts w:hint="eastAsia" w:ascii="仿宋_GB2312" w:hAnsi="仿宋_GB2312" w:eastAsia="仿宋_GB2312" w:cs="仿宋_GB2312"/>
          <w:color w:val="auto"/>
          <w:sz w:val="32"/>
        </w:rPr>
        <w:t>形成1篇成效性总结宣传报道，在</w:t>
      </w:r>
      <w:r>
        <w:rPr>
          <w:rFonts w:hint="eastAsia" w:ascii="仿宋_GB2312" w:hAnsi="仿宋_GB2312" w:eastAsia="仿宋_GB2312" w:cs="仿宋_GB2312"/>
          <w:color w:val="auto"/>
          <w:sz w:val="32"/>
          <w:lang w:eastAsia="zh-CN"/>
        </w:rPr>
        <w:t>市级以上</w:t>
      </w:r>
      <w:r>
        <w:rPr>
          <w:rFonts w:hint="eastAsia" w:ascii="仿宋_GB2312" w:hAnsi="仿宋_GB2312" w:eastAsia="仿宋_GB2312" w:cs="仿宋_GB2312"/>
          <w:color w:val="auto"/>
          <w:sz w:val="32"/>
        </w:rPr>
        <w:t>媒体上发布</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szCs w:val="32"/>
          <w:lang w:val="en-US" w:eastAsia="zh-CN"/>
        </w:rPr>
        <w:t>形成不少于1个知识产权转化运用典型案例。</w:t>
      </w:r>
    </w:p>
    <w:p>
      <w:pPr>
        <w:pageBreakBefore w:val="0"/>
        <w:widowControl w:val="0"/>
        <w:numPr>
          <w:ilvl w:val="-1"/>
          <w:numId w:val="0"/>
        </w:numPr>
        <w:kinsoku/>
        <w:wordWrap/>
        <w:overflowPunct/>
        <w:topLinePunct w:val="0"/>
        <w:bidi w:val="0"/>
        <w:spacing w:beforeLines="0" w:afterLines="0" w:line="600" w:lineRule="exact"/>
        <w:ind w:left="0" w:leftChars="0" w:firstLine="640" w:firstLineChars="200"/>
        <w:textAlignment w:val="auto"/>
        <w:rPr>
          <w:rFonts w:hint="eastAsia" w:eastAsia="黑体"/>
          <w:sz w:val="32"/>
        </w:rPr>
      </w:pPr>
      <w:r>
        <w:rPr>
          <w:rFonts w:hint="eastAsia" w:eastAsia="黑体"/>
          <w:sz w:val="32"/>
          <w:lang w:val="en-US" w:eastAsia="zh-CN"/>
        </w:rPr>
        <w:t>四、</w:t>
      </w:r>
      <w:r>
        <w:rPr>
          <w:rFonts w:hint="eastAsia" w:eastAsia="黑体"/>
          <w:sz w:val="32"/>
        </w:rPr>
        <w:t>申报主体及条件</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楷体" w:hAnsi="楷体" w:eastAsia="楷体" w:cs="楷体"/>
          <w:sz w:val="32"/>
          <w:lang w:val="en-US" w:eastAsia="zh-CN"/>
        </w:rPr>
        <w:t>（一）申报主体：</w:t>
      </w:r>
      <w:r>
        <w:rPr>
          <w:rFonts w:hint="eastAsia" w:ascii="仿宋_GB2312" w:hAnsi="仿宋_GB2312" w:eastAsia="仿宋_GB2312" w:cs="仿宋_GB2312"/>
          <w:sz w:val="32"/>
          <w:lang w:val="en-US" w:eastAsia="zh-CN"/>
        </w:rPr>
        <w:t>境内依法登记注册、具备合法资质的企事业单位、</w:t>
      </w:r>
      <w:r>
        <w:rPr>
          <w:rFonts w:hint="eastAsia" w:ascii="仿宋_GB2312" w:hAnsi="仿宋_GB2312" w:eastAsia="仿宋_GB2312" w:cs="仿宋_GB2312"/>
          <w:color w:val="auto"/>
          <w:sz w:val="32"/>
          <w:lang w:val="en-US" w:eastAsia="zh-CN"/>
        </w:rPr>
        <w:t>金融机构、知识产权服务机构、提供知识</w:t>
      </w:r>
      <w:r>
        <w:rPr>
          <w:rFonts w:hint="eastAsia" w:ascii="仿宋_GB2312" w:hAnsi="仿宋_GB2312" w:eastAsia="仿宋_GB2312" w:cs="仿宋_GB2312"/>
          <w:sz w:val="32"/>
          <w:lang w:val="en-US" w:eastAsia="zh-CN"/>
        </w:rPr>
        <w:t>产权服务的社会团体组织</w:t>
      </w:r>
      <w:r>
        <w:rPr>
          <w:rFonts w:hint="eastAsia" w:ascii="仿宋_GB2312" w:hAnsi="仿宋_GB2312" w:eastAsia="仿宋_GB2312" w:cs="仿宋_GB2312"/>
          <w:color w:val="auto"/>
          <w:sz w:val="32"/>
          <w:lang w:val="en-US" w:eastAsia="zh-CN"/>
        </w:rPr>
        <w:t>等申报</w:t>
      </w:r>
      <w:r>
        <w:rPr>
          <w:rFonts w:hint="eastAsia" w:ascii="仿宋_GB2312" w:hAnsi="仿宋_GB2312" w:eastAsia="仿宋_GB2312" w:cs="仿宋_GB2312"/>
          <w:sz w:val="32"/>
          <w:lang w:val="en-US" w:eastAsia="zh-CN"/>
        </w:rPr>
        <w:t>。</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lang w:eastAsia="zh-CN"/>
        </w:rPr>
      </w:pPr>
      <w:r>
        <w:rPr>
          <w:rFonts w:hint="eastAsia" w:ascii="楷体" w:hAnsi="楷体" w:eastAsia="楷体" w:cs="楷体"/>
          <w:sz w:val="32"/>
          <w:lang w:val="en-US" w:eastAsia="zh-CN"/>
        </w:rPr>
        <w:t>（二）申报条件：</w:t>
      </w:r>
      <w:r>
        <w:rPr>
          <w:rFonts w:hint="eastAsia" w:ascii="仿宋_GB2312" w:hAnsi="仿宋_GB2312" w:eastAsia="仿宋_GB2312" w:cs="仿宋_GB2312"/>
          <w:sz w:val="32"/>
          <w:lang w:val="en-US" w:eastAsia="zh-CN"/>
        </w:rPr>
        <w:t>申报单位应</w:t>
      </w:r>
      <w:r>
        <w:rPr>
          <w:rFonts w:hint="eastAsia" w:ascii="仿宋_GB2312" w:hAnsi="仿宋_GB2312" w:eastAsia="仿宋_GB2312" w:cs="仿宋_GB2312"/>
          <w:sz w:val="32"/>
          <w:lang w:eastAsia="zh-CN"/>
        </w:rPr>
        <w:t>具备提供知识产权质押融资</w:t>
      </w:r>
      <w:r>
        <w:rPr>
          <w:rFonts w:hint="eastAsia" w:ascii="仿宋_GB2312" w:hAnsi="仿宋_GB2312" w:eastAsia="仿宋_GB2312" w:cs="仿宋_GB2312"/>
          <w:sz w:val="32"/>
          <w:lang w:val="en-US" w:eastAsia="zh-CN"/>
        </w:rPr>
        <w:t>等</w:t>
      </w:r>
      <w:r>
        <w:rPr>
          <w:rFonts w:hint="eastAsia" w:ascii="仿宋_GB2312" w:hAnsi="仿宋_GB2312" w:eastAsia="仿宋_GB2312" w:cs="仿宋_GB2312"/>
          <w:sz w:val="32"/>
          <w:lang w:eastAsia="zh-CN"/>
        </w:rPr>
        <w:t>服务</w:t>
      </w:r>
      <w:r>
        <w:rPr>
          <w:rFonts w:hint="eastAsia" w:ascii="仿宋_GB2312" w:hAnsi="仿宋_GB2312" w:eastAsia="仿宋_GB2312" w:cs="仿宋_GB2312"/>
          <w:sz w:val="32"/>
          <w:lang w:val="en-US" w:eastAsia="zh-CN"/>
        </w:rPr>
        <w:t>必需</w:t>
      </w:r>
      <w:r>
        <w:rPr>
          <w:rFonts w:hint="eastAsia" w:ascii="仿宋_GB2312" w:hAnsi="仿宋_GB2312" w:eastAsia="仿宋_GB2312" w:cs="仿宋_GB2312"/>
          <w:sz w:val="32"/>
          <w:lang w:eastAsia="zh-CN"/>
        </w:rPr>
        <w:t>的人力资源、客户资源等条件，能够组织各类专家和比较广泛的服务对象参与，拥有知识产权质押融资服务项目经验。</w:t>
      </w:r>
      <w:r>
        <w:rPr>
          <w:rFonts w:hint="default" w:ascii="仿宋_GB2312" w:hAnsi="仿宋_GB2312" w:eastAsia="仿宋_GB2312" w:cs="仿宋_GB2312"/>
          <w:color w:val="auto"/>
          <w:sz w:val="32"/>
          <w:lang w:val="en-US" w:eastAsia="zh-CN"/>
        </w:rPr>
        <w:t>有良好的信用记录和健全的管理制度，资金和财务状况良好，在经营活动中没有重大违法记录</w:t>
      </w:r>
      <w:r>
        <w:rPr>
          <w:rFonts w:hint="eastAsia" w:ascii="仿宋_GB2312" w:hAnsi="仿宋_GB2312" w:eastAsia="仿宋_GB2312" w:cs="仿宋_GB2312"/>
          <w:color w:val="auto"/>
          <w:sz w:val="32"/>
          <w:lang w:val="en-US" w:eastAsia="zh-CN"/>
        </w:rPr>
        <w:t>，能</w:t>
      </w:r>
      <w:r>
        <w:rPr>
          <w:rFonts w:hint="eastAsia" w:ascii="仿宋_GB2312" w:hAnsi="仿宋_GB2312" w:eastAsia="仿宋_GB2312" w:cs="仿宋_GB2312"/>
          <w:sz w:val="32"/>
          <w:lang w:eastAsia="zh-CN"/>
        </w:rPr>
        <w:t>遵守专项资金管理有关规定，能按时、保质保量完成项目任务。已经承担省、市、县同类型项目且尚未验收或验收不合格的，不得申报。</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黑体" w:hAnsi="黑体" w:eastAsia="黑体"/>
          <w:sz w:val="32"/>
        </w:rPr>
      </w:pPr>
      <w:r>
        <w:rPr>
          <w:rFonts w:hint="eastAsia" w:ascii="黑体" w:hAnsi="黑体" w:eastAsia="黑体"/>
          <w:sz w:val="32"/>
        </w:rPr>
        <w:t>五、申报材料</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《2025年河源市知识产</w:t>
      </w:r>
      <w:bookmarkStart w:id="0" w:name="_GoBack"/>
      <w:bookmarkEnd w:id="0"/>
      <w:r>
        <w:rPr>
          <w:rFonts w:hint="eastAsia" w:ascii="仿宋_GB2312" w:hAnsi="仿宋_GB2312" w:eastAsia="仿宋_GB2312" w:cs="仿宋_GB2312"/>
          <w:sz w:val="32"/>
          <w:szCs w:val="32"/>
          <w:lang w:val="en-US" w:eastAsia="zh-CN"/>
        </w:rPr>
        <w:t>权项目申报书》（以下简称《申报书》）</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auto"/>
          <w:sz w:val="32"/>
          <w:szCs w:val="32"/>
          <w:lang w:eastAsia="zh-CN"/>
        </w:rPr>
        <w:t>主体资格登记证明、</w:t>
      </w:r>
      <w:r>
        <w:rPr>
          <w:rFonts w:hint="eastAsia" w:ascii="仿宋_GB2312" w:hAnsi="仿宋_GB2312" w:eastAsia="仿宋_GB2312" w:cs="仿宋_GB2312"/>
          <w:color w:val="auto"/>
          <w:sz w:val="32"/>
          <w:szCs w:val="32"/>
        </w:rPr>
        <w:t>银行开户</w:t>
      </w:r>
      <w:r>
        <w:rPr>
          <w:rFonts w:hint="eastAsia" w:ascii="仿宋_GB2312" w:hAnsi="仿宋_GB2312" w:eastAsia="仿宋_GB2312" w:cs="仿宋_GB2312"/>
          <w:sz w:val="32"/>
          <w:szCs w:val="32"/>
        </w:rPr>
        <w:t>许可证复印件</w:t>
      </w:r>
      <w:r>
        <w:rPr>
          <w:rFonts w:hint="eastAsia" w:ascii="仿宋_GB2312" w:hAnsi="仿宋_GB2312" w:eastAsia="仿宋_GB2312" w:cs="仿宋_GB2312"/>
          <w:b w:val="0"/>
          <w:bCs w:val="0"/>
          <w:sz w:val="32"/>
          <w:szCs w:val="32"/>
          <w:u w:val="none"/>
        </w:rPr>
        <w:t>；</w:t>
      </w:r>
    </w:p>
    <w:p>
      <w:pPr>
        <w:keepNext w:val="0"/>
        <w:keepLines w:val="0"/>
        <w:pageBreakBefore w:val="0"/>
        <w:widowControl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三</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sz w:val="32"/>
          <w:szCs w:val="32"/>
          <w:u w:val="none"/>
          <w:lang w:val="en-US" w:eastAsia="zh-CN"/>
        </w:rPr>
        <w:t>相关资质和经验证明材料</w:t>
      </w:r>
      <w:r>
        <w:rPr>
          <w:rFonts w:hint="eastAsia" w:ascii="仿宋_GB2312" w:hAnsi="仿宋_GB2312" w:eastAsia="仿宋_GB2312" w:cs="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（四）近两年的财务报表；</w:t>
      </w:r>
    </w:p>
    <w:p>
      <w:pPr>
        <w:pageBreakBefore w:val="0"/>
        <w:widowControl w:val="0"/>
        <w:kinsoku/>
        <w:wordWrap/>
        <w:overflowPunct/>
        <w:topLinePunct w:val="0"/>
        <w:bidi w:val="0"/>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）其他证明申报条件</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优势</w:t>
      </w:r>
      <w:r>
        <w:rPr>
          <w:rFonts w:hint="eastAsia" w:ascii="仿宋_GB2312" w:hAnsi="仿宋_GB2312" w:eastAsia="仿宋_GB2312" w:cs="仿宋_GB2312"/>
          <w:sz w:val="32"/>
          <w:szCs w:val="32"/>
        </w:rPr>
        <w:t>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上述材料均需加盖公章并在《申报书》加盖骑缝章。</w:t>
      </w:r>
    </w:p>
    <w:p>
      <w:pPr>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default" w:ascii="黑体" w:hAnsi="黑体" w:eastAsia="黑体"/>
          <w:sz w:val="32"/>
          <w:lang w:val="en-US" w:eastAsia="zh-CN"/>
        </w:rPr>
      </w:pPr>
      <w:r>
        <w:rPr>
          <w:rFonts w:hint="eastAsia" w:ascii="黑体" w:hAnsi="黑体" w:eastAsia="黑体"/>
          <w:sz w:val="32"/>
          <w:lang w:eastAsia="zh-CN"/>
        </w:rPr>
        <w:t>六、</w:t>
      </w:r>
      <w:r>
        <w:rPr>
          <w:rFonts w:hint="eastAsia" w:ascii="黑体" w:hAnsi="黑体" w:eastAsia="黑体"/>
          <w:color w:val="auto"/>
          <w:sz w:val="32"/>
          <w:lang w:eastAsia="zh-CN"/>
        </w:rPr>
        <w:t>支持方式及额度、实施期限</w:t>
      </w:r>
    </w:p>
    <w:p>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textAlignment w:val="auto"/>
        <w:rPr>
          <w:rFonts w:hint="eastAsia"/>
          <w:sz w:val="32"/>
          <w:szCs w:val="32"/>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项，每项支持额度预计</w:t>
      </w:r>
      <w:r>
        <w:rPr>
          <w:rFonts w:hint="eastAsia" w:ascii="仿宋_GB2312" w:hAnsi="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万元；所有项目任务原则上需在202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年完成。</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6CDE1E-58C9-4ED9-B376-062CD5BF9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49E1C120-A2B2-4611-80A7-ACF5FE4CACD1}"/>
  </w:font>
  <w:font w:name="方正小标宋_GBK">
    <w:panose1 w:val="02000000000000000000"/>
    <w:charset w:val="86"/>
    <w:family w:val="auto"/>
    <w:pitch w:val="default"/>
    <w:sig w:usb0="A00002BF" w:usb1="38CF7CFA" w:usb2="00082016" w:usb3="00000000" w:csb0="00040001" w:csb1="00000000"/>
    <w:embedRegular r:id="rId3" w:fontKey="{8D61A7AE-B6D2-4B95-B253-6BA528D8262F}"/>
  </w:font>
  <w:font w:name="楷体">
    <w:panose1 w:val="02010609060101010101"/>
    <w:charset w:val="86"/>
    <w:family w:val="auto"/>
    <w:pitch w:val="default"/>
    <w:sig w:usb0="800002BF" w:usb1="38CF7CFA" w:usb2="00000016" w:usb3="00000000" w:csb0="00040001" w:csb1="00000000"/>
    <w:embedRegular r:id="rId4" w:fontKey="{A09003B0-324C-4FDB-B149-C774B3CC17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-52070</wp:posOffset>
              </wp:positionV>
              <wp:extent cx="676910" cy="198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6910" cy="198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1pt;height:15.6pt;width:53.3pt;mso-position-horizontal:outside;mso-position-horizontal-relative:margin;z-index:251659264;mso-width-relative:page;mso-height-relative:page;" filled="f" stroked="f" coordsize="21600,21600" o:gfxdata="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3GJt1AAAAAYBAAAPAAAAAAAAAAEAIAAAACIAAABkcnMvZG93bnJldi54bWxQ&#10;SwECFAAUAAAACACHTuJAuxqXFzQCAABhBAAADgAAAAAAAAABACAAAAAjAQAAZHJzL2Uyb0RvYy54&#10;bWxQSwUGAAAAAAYABgBZAQAAyQUAAAAA&#10;">
              <v:fill on="f" focussize="0,0"/>
              <v:stroke on="f" weight="0.5pt"/>
              <v:imagedata o:title=""/>
              <o:lock v:ext="edit" aspectratio="f"/>
              <v:textbox inset="0mm,0mm,0mm,0mm">
                <w:txbxContent>
                  <w:p>
                    <w:pPr>
                      <w:pStyle w:val="4"/>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M1YTE4MzA2NDYxYTlhMThjY2ExZWJmOGExZjYifQ=="/>
  </w:docVars>
  <w:rsids>
    <w:rsidRoot w:val="01C60527"/>
    <w:rsid w:val="005B0A06"/>
    <w:rsid w:val="007F0FF5"/>
    <w:rsid w:val="015940D0"/>
    <w:rsid w:val="017C6090"/>
    <w:rsid w:val="01C60527"/>
    <w:rsid w:val="04E06C78"/>
    <w:rsid w:val="05235CC7"/>
    <w:rsid w:val="05AB4F66"/>
    <w:rsid w:val="05FF020E"/>
    <w:rsid w:val="066F24B8"/>
    <w:rsid w:val="06E77774"/>
    <w:rsid w:val="077C515F"/>
    <w:rsid w:val="08594533"/>
    <w:rsid w:val="086278C1"/>
    <w:rsid w:val="0CC11FB8"/>
    <w:rsid w:val="0DA7224C"/>
    <w:rsid w:val="0F5C2FEF"/>
    <w:rsid w:val="0FA03D73"/>
    <w:rsid w:val="12C16C73"/>
    <w:rsid w:val="13462926"/>
    <w:rsid w:val="1A6D1194"/>
    <w:rsid w:val="1B63008E"/>
    <w:rsid w:val="1C591231"/>
    <w:rsid w:val="1C8648AF"/>
    <w:rsid w:val="1D09673C"/>
    <w:rsid w:val="1EBD1A20"/>
    <w:rsid w:val="21437E63"/>
    <w:rsid w:val="23824B96"/>
    <w:rsid w:val="258B265B"/>
    <w:rsid w:val="260809E9"/>
    <w:rsid w:val="2A333C4C"/>
    <w:rsid w:val="2C1D2D0D"/>
    <w:rsid w:val="2D30509D"/>
    <w:rsid w:val="2DA00F3C"/>
    <w:rsid w:val="2DF85E87"/>
    <w:rsid w:val="30CA49BB"/>
    <w:rsid w:val="31580DFA"/>
    <w:rsid w:val="329B61EE"/>
    <w:rsid w:val="340D5E76"/>
    <w:rsid w:val="35027EE0"/>
    <w:rsid w:val="350361FE"/>
    <w:rsid w:val="357A34CD"/>
    <w:rsid w:val="3A432061"/>
    <w:rsid w:val="3D493871"/>
    <w:rsid w:val="3DD62A64"/>
    <w:rsid w:val="3EDCE7C0"/>
    <w:rsid w:val="46584C1D"/>
    <w:rsid w:val="4C1C7592"/>
    <w:rsid w:val="4C6CAC49"/>
    <w:rsid w:val="4F3030BE"/>
    <w:rsid w:val="53B76896"/>
    <w:rsid w:val="54AE59E5"/>
    <w:rsid w:val="56DA0515"/>
    <w:rsid w:val="58CFD1FF"/>
    <w:rsid w:val="591E2B7C"/>
    <w:rsid w:val="5EE65AD9"/>
    <w:rsid w:val="5F9BAF58"/>
    <w:rsid w:val="63810805"/>
    <w:rsid w:val="63D92477"/>
    <w:rsid w:val="66BB6BD3"/>
    <w:rsid w:val="68A561E1"/>
    <w:rsid w:val="6ABA41F4"/>
    <w:rsid w:val="6D1014FE"/>
    <w:rsid w:val="6F843614"/>
    <w:rsid w:val="73DB5306"/>
    <w:rsid w:val="75677464"/>
    <w:rsid w:val="76042055"/>
    <w:rsid w:val="76D44E81"/>
    <w:rsid w:val="77066529"/>
    <w:rsid w:val="77470B83"/>
    <w:rsid w:val="777B9C45"/>
    <w:rsid w:val="7894090B"/>
    <w:rsid w:val="78B45E10"/>
    <w:rsid w:val="7A1200E7"/>
    <w:rsid w:val="7B9669BE"/>
    <w:rsid w:val="7F073AE9"/>
    <w:rsid w:val="7F6B6706"/>
    <w:rsid w:val="7FB719C5"/>
    <w:rsid w:val="7FDC4A3A"/>
    <w:rsid w:val="9DFAC15C"/>
    <w:rsid w:val="B97BA1EC"/>
    <w:rsid w:val="BDF4CB00"/>
    <w:rsid w:val="BF7FBCAF"/>
    <w:rsid w:val="DF2FB3AA"/>
    <w:rsid w:val="EDEF2E56"/>
    <w:rsid w:val="F5FD4EE2"/>
    <w:rsid w:val="FEDFFBDF"/>
    <w:rsid w:val="FF2DF88C"/>
    <w:rsid w:val="FFE3C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style>
  <w:style w:type="paragraph" w:customStyle="1" w:styleId="10">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河源市质监局</Company>
  <Pages>3</Pages>
  <Words>1108</Words>
  <Characters>1120</Characters>
  <Lines>0</Lines>
  <Paragraphs>0</Paragraphs>
  <TotalTime>7</TotalTime>
  <ScaleCrop>false</ScaleCrop>
  <LinksUpToDate>false</LinksUpToDate>
  <CharactersWithSpaces>1122</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2021-09-14T18:53:00Z</dcterms:created>
  <dc:creator>何虹</dc:creator>
  <cp:lastModifiedBy>LM</cp:lastModifiedBy>
  <cp:lastPrinted>2025-01-21T16:47:00Z</cp:lastPrinted>
  <dcterms:modified xsi:type="dcterms:W3CDTF">2025-02-08T08:28:28Z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7E02880CF1C4C098E9598F67B6F52902</vt:lpwstr>
  </property>
  <property fmtid="{D5CDD505-2E9C-101B-9397-08002B2CF9AE}" pid="4" name="KSOTemplateDocerSaveRecord">
    <vt:lpwstr>eyJoZGlkIjoiMjFhYTM1YTE4MzA2NDYxYTlhMThjY2ExZWJmOGExZjYiLCJ1c2VySWQiOiI0Njg4NjY0MTYifQ==</vt:lpwstr>
  </property>
</Properties>
</file>