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80" w:lineRule="exact"/>
        <w:jc w:val="both"/>
        <w:textAlignment w:val="auto"/>
        <w:rPr>
          <w:rFonts w:hint="default" w:ascii="仿宋_GB2312" w:hAnsi="仿宋_GB2312" w:eastAsia="仿宋_GB2312" w:cs="仿宋_GB2312"/>
          <w:bCs/>
          <w:spacing w:val="-20"/>
          <w:sz w:val="32"/>
          <w:szCs w:val="32"/>
          <w:lang w:val="en-US" w:eastAsia="zh-CN"/>
        </w:rPr>
      </w:pPr>
      <w:r>
        <w:rPr>
          <w:rFonts w:hint="eastAsia" w:ascii="仿宋_GB2312" w:hAnsi="仿宋_GB2312" w:cs="仿宋_GB2312"/>
          <w:bCs/>
          <w:spacing w:val="-20"/>
          <w:sz w:val="32"/>
          <w:szCs w:val="32"/>
          <w:lang w:val="en-US" w:eastAsia="zh-CN"/>
        </w:rPr>
        <w:t>附件9</w:t>
      </w:r>
      <w:bookmarkStart w:id="0" w:name="_GoBack"/>
      <w:bookmarkEnd w:id="0"/>
    </w:p>
    <w:p>
      <w:pPr>
        <w:keepNext w:val="0"/>
        <w:keepLines w:val="0"/>
        <w:pageBreakBefore w:val="0"/>
        <w:widowControl/>
        <w:kinsoku/>
        <w:wordWrap/>
        <w:overflowPunct/>
        <w:topLinePunct w:val="0"/>
        <w:autoSpaceDE/>
        <w:autoSpaceDN/>
        <w:bidi w:val="0"/>
        <w:adjustRightInd/>
        <w:snapToGrid/>
        <w:spacing w:line="680" w:lineRule="exact"/>
        <w:jc w:val="center"/>
        <w:textAlignment w:val="auto"/>
        <w:rPr>
          <w:rFonts w:hint="eastAsia" w:ascii="Times New Roman" w:hAnsi="Times New Roman" w:eastAsia="方正小标宋简体" w:cs="方正小标宋简体"/>
          <w:bCs/>
          <w:spacing w:val="-20"/>
          <w:sz w:val="44"/>
          <w:szCs w:val="44"/>
          <w:lang w:eastAsia="zh-CN"/>
        </w:rPr>
      </w:pPr>
      <w:r>
        <w:rPr>
          <w:rFonts w:hint="eastAsia" w:ascii="Times New Roman" w:hAnsi="Times New Roman" w:eastAsia="方正小标宋简体" w:cs="方正小标宋简体"/>
          <w:bCs/>
          <w:spacing w:val="-20"/>
          <w:sz w:val="44"/>
          <w:szCs w:val="44"/>
          <w:lang w:eastAsia="zh-CN"/>
        </w:rPr>
        <w:t>钢筋产品质量监督抽查实施细则</w:t>
      </w:r>
    </w:p>
    <w:p>
      <w:pPr>
        <w:keepNext w:val="0"/>
        <w:keepLines w:val="0"/>
        <w:pageBreakBefore w:val="0"/>
        <w:widowControl/>
        <w:kinsoku/>
        <w:wordWrap/>
        <w:overflowPunct/>
        <w:topLinePunct w:val="0"/>
        <w:autoSpaceDE/>
        <w:autoSpaceDN/>
        <w:bidi w:val="0"/>
        <w:adjustRightInd/>
        <w:snapToGrid/>
        <w:spacing w:line="680" w:lineRule="exact"/>
        <w:jc w:val="center"/>
        <w:textAlignment w:val="auto"/>
        <w:rPr>
          <w:rFonts w:hint="eastAsia" w:ascii="Times New Roman" w:hAnsi="Times New Roman" w:eastAsia="方正小标宋简体" w:cs="方正小标宋简体"/>
          <w:bCs/>
          <w:spacing w:val="-20"/>
          <w:sz w:val="44"/>
          <w:szCs w:val="44"/>
          <w:lang w:eastAsia="zh-CN"/>
        </w:rPr>
      </w:pPr>
      <w:r>
        <w:rPr>
          <w:rFonts w:hint="eastAsia" w:ascii="Times New Roman" w:hAnsi="Times New Roman" w:eastAsia="方正小标宋简体" w:cs="方正小标宋简体"/>
          <w:bCs/>
          <w:spacing w:val="-20"/>
          <w:sz w:val="44"/>
          <w:szCs w:val="44"/>
          <w:lang w:eastAsia="zh-CN"/>
        </w:rPr>
        <w:t>（</w:t>
      </w:r>
      <w:r>
        <w:rPr>
          <w:rFonts w:hint="eastAsia" w:ascii="方正小标宋简体" w:hAnsi="方正小标宋简体" w:eastAsia="方正小标宋简体" w:cs="方正小标宋简体"/>
          <w:b w:val="0"/>
          <w:bCs/>
          <w:color w:val="auto"/>
          <w:sz w:val="44"/>
          <w:szCs w:val="44"/>
        </w:rPr>
        <w:t>2025</w:t>
      </w:r>
      <w:r>
        <w:rPr>
          <w:rFonts w:hint="eastAsia" w:ascii="Times New Roman" w:hAnsi="Times New Roman" w:eastAsia="方正小标宋简体" w:cs="方正小标宋简体"/>
          <w:bCs/>
          <w:spacing w:val="-20"/>
          <w:sz w:val="44"/>
          <w:szCs w:val="44"/>
          <w:lang w:val="en-US" w:eastAsia="zh-CN"/>
        </w:rPr>
        <w:t>版</w:t>
      </w:r>
      <w:r>
        <w:rPr>
          <w:rFonts w:hint="eastAsia" w:ascii="Times New Roman" w:hAnsi="Times New Roman" w:eastAsia="方正小标宋简体" w:cs="方正小标宋简体"/>
          <w:bCs/>
          <w:spacing w:val="-20"/>
          <w:sz w:val="44"/>
          <w:szCs w:val="44"/>
          <w:lang w:eastAsia="zh-CN"/>
        </w:rPr>
        <w:t>）</w:t>
      </w:r>
    </w:p>
    <w:p>
      <w:pPr>
        <w:keepNext w:val="0"/>
        <w:keepLines w:val="0"/>
        <w:pageBreakBefore w:val="0"/>
        <w:widowControl w:val="0"/>
        <w:kinsoku/>
        <w:wordWrap/>
        <w:overflowPunct/>
        <w:topLinePunct w:val="0"/>
        <w:autoSpaceDE/>
        <w:bidi w:val="0"/>
        <w:adjustRightInd/>
        <w:snapToGrid w:val="0"/>
        <w:spacing w:line="240" w:lineRule="auto"/>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一、抽样方法</w:t>
      </w:r>
    </w:p>
    <w:p>
      <w:pPr>
        <w:keepNext w:val="0"/>
        <w:keepLines w:val="0"/>
        <w:pageBreakBefore w:val="0"/>
        <w:widowControl/>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以随机抽样的方式在被</w:t>
      </w:r>
      <w:r>
        <w:rPr>
          <w:rFonts w:hint="eastAsia" w:ascii="仿宋_GB2312" w:hAnsi="仿宋_GB2312" w:eastAsia="仿宋_GB2312" w:cs="仿宋_GB2312"/>
          <w:kern w:val="0"/>
          <w:sz w:val="32"/>
          <w:szCs w:val="32"/>
          <w:lang w:eastAsia="zh-CN"/>
        </w:rPr>
        <w:t>抽查市场主体</w:t>
      </w:r>
      <w:r>
        <w:rPr>
          <w:rFonts w:hint="eastAsia" w:ascii="仿宋_GB2312" w:hAnsi="仿宋_GB2312" w:eastAsia="仿宋_GB2312" w:cs="仿宋_GB2312"/>
          <w:kern w:val="0"/>
          <w:sz w:val="32"/>
          <w:szCs w:val="32"/>
        </w:rPr>
        <w:t>的待销产品中抽取。</w:t>
      </w:r>
    </w:p>
    <w:p>
      <w:pPr>
        <w:keepNext w:val="0"/>
        <w:keepLines w:val="0"/>
        <w:pageBreakBefore w:val="0"/>
        <w:widowControl/>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随机数一般可使用随机数表等方法产生。</w:t>
      </w:r>
    </w:p>
    <w:p>
      <w:pPr>
        <w:keepNext w:val="0"/>
        <w:keepLines w:val="0"/>
        <w:pageBreakBefore w:val="0"/>
        <w:widowControl/>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每款产品抽取2组样本，第1组用于检验，第2组用于备样</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备用样品封存于承检单位。具体抽样数量</w:t>
      </w:r>
      <w:r>
        <w:rPr>
          <w:rFonts w:hint="eastAsia" w:ascii="仿宋_GB2312" w:hAnsi="仿宋_GB2312" w:eastAsia="仿宋_GB2312" w:cs="仿宋_GB2312"/>
          <w:kern w:val="0"/>
          <w:sz w:val="32"/>
          <w:szCs w:val="32"/>
          <w:lang w:eastAsia="zh-CN"/>
        </w:rPr>
        <w:t>和方法如下</w:t>
      </w:r>
      <w:r>
        <w:rPr>
          <w:rFonts w:hint="eastAsia" w:ascii="仿宋_GB2312" w:hAnsi="仿宋_GB2312" w:eastAsia="仿宋_GB2312" w:cs="仿宋_GB2312"/>
          <w:kern w:val="0"/>
          <w:sz w:val="32"/>
          <w:szCs w:val="32"/>
          <w:lang w:val="en-US" w:eastAsia="zh-CN"/>
        </w:rPr>
        <w:t>。</w:t>
      </w:r>
    </w:p>
    <w:p>
      <w:pPr>
        <w:keepNext w:val="0"/>
        <w:keepLines w:val="0"/>
        <w:pageBreakBefore w:val="0"/>
        <w:widowControl/>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对于直条型式的钢筋，抽样方法如下：</w:t>
      </w:r>
    </w:p>
    <w:p>
      <w:pPr>
        <w:keepNext w:val="0"/>
        <w:keepLines w:val="0"/>
        <w:pageBreakBefore w:val="0"/>
        <w:widowControl/>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优先抽取产品标准中较高强度等级的牌号的产品；</w:t>
      </w:r>
    </w:p>
    <w:p>
      <w:pPr>
        <w:keepNext w:val="0"/>
        <w:keepLines w:val="0"/>
        <w:pageBreakBefore w:val="0"/>
        <w:widowControl/>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将确定的牌号产品按所有规格逐一编号，做到不重不漏，用上述随机数产生方法抽取其中的某一规格；</w:t>
      </w:r>
    </w:p>
    <w:p>
      <w:pPr>
        <w:keepNext w:val="0"/>
        <w:keepLines w:val="0"/>
        <w:pageBreakBefore w:val="0"/>
        <w:widowControl/>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将确定的某规格产品按堆放的垛数逐一编号，做到不重不漏，用上述随机数产生方法抽取其中的某一垛；</w:t>
      </w:r>
    </w:p>
    <w:p>
      <w:pPr>
        <w:keepNext w:val="0"/>
        <w:keepLines w:val="0"/>
        <w:pageBreakBefore w:val="0"/>
        <w:widowControl/>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将该垛的表层产品按捆数逐一编号，做到不重不漏，用上述随机数产生方法抽取其中的某一捆产品；</w:t>
      </w:r>
    </w:p>
    <w:p>
      <w:pPr>
        <w:keepNext w:val="0"/>
        <w:keepLines w:val="0"/>
        <w:pageBreakBefore w:val="0"/>
        <w:widowControl/>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若该捆同批号产品不满足抽样基数，则重复以上（1）～（4）条进行抽样，直到某一捆同批号产品满足抽样基数为止；</w:t>
      </w:r>
    </w:p>
    <w:p>
      <w:pPr>
        <w:keepNext w:val="0"/>
        <w:keepLines w:val="0"/>
        <w:pageBreakBefore w:val="0"/>
        <w:widowControl/>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在该捆中随机抽取5根长度为原长的钢筋，逐根顺序编号为1～5，再从每根钢筋切割出2支长度为1200mm的样品,2支样品逐支编号标记，应一一对应（如1-a，1-b），每支样品要保证有完整的表面标志，标记a的5支样品为检验样品，标记b的5支样品为备用样品。</w:t>
      </w:r>
    </w:p>
    <w:p>
      <w:pPr>
        <w:keepNext w:val="0"/>
        <w:keepLines w:val="0"/>
        <w:pageBreakBefore w:val="0"/>
        <w:widowControl/>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对于盘卷型式的钢筋，抽样方法如下：</w:t>
      </w:r>
    </w:p>
    <w:p>
      <w:pPr>
        <w:keepNext w:val="0"/>
        <w:keepLines w:val="0"/>
        <w:pageBreakBefore w:val="0"/>
        <w:widowControl/>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（1）对于热轧带肋钢筋产品，按6.1中的优先原则确定所抽产品的牌号；对于热轧光圆钢筋产品，将所有牌号进行编号，做到不重不漏，用上述随机数产生方法抽取其中的某一牌号；</w:t>
      </w:r>
    </w:p>
    <w:p>
      <w:pPr>
        <w:keepNext w:val="0"/>
        <w:keepLines w:val="0"/>
        <w:pageBreakBefore w:val="0"/>
        <w:widowControl/>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（2）将确定的牌号产品按所有规格逐一编号，做到不重不漏，用上述随机数产生方法抽取其中的某一规格；</w:t>
      </w:r>
    </w:p>
    <w:p>
      <w:pPr>
        <w:keepNext w:val="0"/>
        <w:keepLines w:val="0"/>
        <w:pageBreakBefore w:val="0"/>
        <w:widowControl/>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（3）将确定的某规格产品按堆放的垛数逐一编号，做到不重不漏，用上述随机数产生方法抽取其中的某一垛；</w:t>
      </w:r>
    </w:p>
    <w:p>
      <w:pPr>
        <w:keepNext w:val="0"/>
        <w:keepLines w:val="0"/>
        <w:pageBreakBefore w:val="0"/>
        <w:widowControl/>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（4）将该垛的表层产品按盘数逐一编号，做到不重不漏，用上述随机数产生方法抽取其中的某5盘同一批号的产品；</w:t>
      </w:r>
    </w:p>
    <w:p>
      <w:pPr>
        <w:keepNext w:val="0"/>
        <w:keepLines w:val="0"/>
        <w:pageBreakBefore w:val="0"/>
        <w:widowControl/>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（5）若该层中同批号产品不满足抽样基数，则重复以上（1）～（4）条进行抽样，直到某盘同批号产品满足抽样基数为止；</w:t>
      </w:r>
    </w:p>
    <w:p>
      <w:pPr>
        <w:keepNext w:val="0"/>
        <w:keepLines w:val="0"/>
        <w:pageBreakBefore w:val="0"/>
        <w:widowControl/>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在每盘钢筋上距头或尾至少2000mm处，随机截取1根长度为2400mm的钢筋，逐根顺序编号为1～5，再把每根钢筋分成出2支长度为1200mm的样品,2支样品逐支编号标记，应一一对应（如1-a，1-b），标记a的5支样品为检验样品，标记b的5支样品为备用样品。</w:t>
      </w:r>
    </w:p>
    <w:p>
      <w:pPr>
        <w:keepNext w:val="0"/>
        <w:keepLines w:val="0"/>
        <w:pageBreakBefore w:val="0"/>
        <w:widowControl/>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在企业成品库抽样时，抽样基数满足抽样数量即可。</w:t>
      </w:r>
    </w:p>
    <w:p>
      <w:pPr>
        <w:keepNext w:val="0"/>
        <w:keepLines w:val="0"/>
        <w:pageBreakBefore w:val="0"/>
        <w:widowControl/>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注意事项：抽取样品的同时需与每组样品一起封存吊牌标志。</w:t>
      </w:r>
    </w:p>
    <w:p>
      <w:pPr>
        <w:keepNext w:val="0"/>
        <w:keepLines w:val="0"/>
        <w:pageBreakBefore w:val="0"/>
        <w:widowControl/>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二、</w:t>
      </w:r>
      <w:r>
        <w:rPr>
          <w:rFonts w:hint="eastAsia" w:ascii="仿宋_GB2312" w:hAnsi="仿宋_GB2312" w:eastAsia="仿宋_GB2312" w:cs="仿宋_GB2312"/>
          <w:kern w:val="0"/>
          <w:sz w:val="32"/>
          <w:szCs w:val="32"/>
        </w:rPr>
        <w:t>主要检验项目及检验项目属性划分</w:t>
      </w:r>
    </w:p>
    <w:p>
      <w:pPr>
        <w:keepNext w:val="0"/>
        <w:keepLines w:val="0"/>
        <w:pageBreakBefore w:val="0"/>
        <w:widowControl/>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1.热轧带肋钢筋</w:t>
      </w:r>
    </w:p>
    <w:tbl>
      <w:tblPr>
        <w:tblStyle w:val="7"/>
        <w:tblpPr w:leftFromText="180" w:rightFromText="180" w:vertAnchor="text" w:horzAnchor="page" w:tblpX="1776" w:tblpY="177"/>
        <w:tblOverlap w:val="never"/>
        <w:tblW w:w="85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2164"/>
        <w:gridCol w:w="2164"/>
        <w:gridCol w:w="3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trPr>
        <w:tc>
          <w:tcPr>
            <w:tcW w:w="101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jc w:val="center"/>
              <w:textAlignment w:val="auto"/>
              <w:outlineLvl w:val="9"/>
              <w:rPr>
                <w:rFonts w:hint="eastAsia" w:asciiTheme="minorEastAsia" w:hAnsiTheme="minorEastAsia" w:eastAsiaTheme="minorEastAsia" w:cstheme="minorEastAsia"/>
                <w:sz w:val="28"/>
                <w:szCs w:val="28"/>
                <w:shd w:val="clear" w:color="auto" w:fill="auto"/>
              </w:rPr>
            </w:pPr>
            <w:r>
              <w:rPr>
                <w:rFonts w:hint="eastAsia" w:asciiTheme="minorEastAsia" w:hAnsiTheme="minorEastAsia" w:eastAsiaTheme="minorEastAsia" w:cstheme="minorEastAsia"/>
                <w:sz w:val="28"/>
                <w:szCs w:val="28"/>
                <w:shd w:val="clear" w:color="auto" w:fill="auto"/>
              </w:rPr>
              <w:t>序号</w:t>
            </w:r>
          </w:p>
        </w:tc>
        <w:tc>
          <w:tcPr>
            <w:tcW w:w="432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ind w:firstLine="1400" w:firstLineChars="500"/>
              <w:jc w:val="both"/>
              <w:textAlignment w:val="auto"/>
              <w:outlineLvl w:val="9"/>
              <w:rPr>
                <w:rFonts w:hint="eastAsia" w:asciiTheme="minorEastAsia" w:hAnsiTheme="minorEastAsia" w:eastAsiaTheme="minorEastAsia" w:cstheme="minorEastAsia"/>
                <w:sz w:val="28"/>
                <w:szCs w:val="28"/>
                <w:shd w:val="clear" w:color="auto" w:fill="auto"/>
              </w:rPr>
            </w:pPr>
            <w:r>
              <w:rPr>
                <w:rFonts w:hint="eastAsia" w:asciiTheme="minorEastAsia" w:hAnsiTheme="minorEastAsia" w:eastAsiaTheme="minorEastAsia" w:cstheme="minorEastAsia"/>
                <w:sz w:val="28"/>
                <w:szCs w:val="28"/>
                <w:shd w:val="clear" w:color="auto" w:fill="auto"/>
              </w:rPr>
              <w:t>检验项目</w:t>
            </w:r>
          </w:p>
        </w:tc>
        <w:tc>
          <w:tcPr>
            <w:tcW w:w="324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ind w:firstLine="840" w:firstLineChars="300"/>
              <w:jc w:val="both"/>
              <w:textAlignment w:val="auto"/>
              <w:outlineLvl w:val="9"/>
              <w:rPr>
                <w:rFonts w:hint="eastAsia" w:asciiTheme="minorEastAsia" w:hAnsiTheme="minorEastAsia" w:eastAsiaTheme="minorEastAsia" w:cstheme="minorEastAsia"/>
                <w:sz w:val="28"/>
                <w:szCs w:val="28"/>
                <w:shd w:val="clear" w:color="auto" w:fill="auto"/>
                <w:lang w:eastAsia="zh-CN"/>
              </w:rPr>
            </w:pPr>
            <w:r>
              <w:rPr>
                <w:rFonts w:hint="eastAsia" w:asciiTheme="minorEastAsia" w:hAnsiTheme="minorEastAsia" w:eastAsiaTheme="minorEastAsia" w:cstheme="minorEastAsia"/>
                <w:sz w:val="28"/>
                <w:szCs w:val="28"/>
                <w:shd w:val="clear" w:color="auto" w:fill="auto"/>
                <w:lang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1016"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1</w:t>
            </w:r>
          </w:p>
        </w:tc>
        <w:tc>
          <w:tcPr>
            <w:tcW w:w="4328"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eastAsia="zh-CN"/>
              </w:rPr>
              <w:t>下屈服强度</w:t>
            </w:r>
          </w:p>
        </w:tc>
        <w:tc>
          <w:tcPr>
            <w:tcW w:w="3244"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GB 1499.2—20</w:t>
            </w:r>
            <w:r>
              <w:rPr>
                <w:rFonts w:hint="eastAsia" w:ascii="宋体" w:hAnsi="宋体" w:eastAsia="宋体" w:cs="宋体"/>
                <w:sz w:val="24"/>
                <w:szCs w:val="24"/>
                <w:lang w:val="en-US" w:eastAsia="zh-CN"/>
              </w:rPr>
              <w:t>24</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GB/T 28900—2022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6"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2</w:t>
            </w:r>
          </w:p>
        </w:tc>
        <w:tc>
          <w:tcPr>
            <w:tcW w:w="4328"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eastAsia="zh-CN"/>
              </w:rPr>
              <w:t>抗拉强度</w:t>
            </w:r>
          </w:p>
        </w:tc>
        <w:tc>
          <w:tcPr>
            <w:tcW w:w="3244"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6"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3</w:t>
            </w:r>
          </w:p>
        </w:tc>
        <w:tc>
          <w:tcPr>
            <w:tcW w:w="4328"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eastAsia="zh-CN"/>
              </w:rPr>
              <w:t>断后伸长率</w:t>
            </w:r>
          </w:p>
        </w:tc>
        <w:tc>
          <w:tcPr>
            <w:tcW w:w="3244"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6"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4</w:t>
            </w:r>
          </w:p>
        </w:tc>
        <w:tc>
          <w:tcPr>
            <w:tcW w:w="4328"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eastAsia="zh-CN"/>
              </w:rPr>
              <w:t>最大力总延伸率</w:t>
            </w:r>
          </w:p>
        </w:tc>
        <w:tc>
          <w:tcPr>
            <w:tcW w:w="3244"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eastAsia="zh-CN"/>
              </w:rPr>
              <w:t>5</w:t>
            </w:r>
          </w:p>
        </w:tc>
        <w:tc>
          <w:tcPr>
            <w:tcW w:w="4328"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eastAsia="zh-CN"/>
              </w:rPr>
              <w:t>实测抗拉强度与实测屈服强度之比</w:t>
            </w:r>
          </w:p>
        </w:tc>
        <w:tc>
          <w:tcPr>
            <w:tcW w:w="3244"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lang w:val="en-US" w:eastAsia="zh-CN"/>
              </w:rPr>
              <w:t>6</w:t>
            </w:r>
          </w:p>
        </w:tc>
        <w:tc>
          <w:tcPr>
            <w:tcW w:w="4328"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eastAsia="zh-CN"/>
              </w:rPr>
              <w:t>实测屈服强度与屈服强度特征值之比</w:t>
            </w:r>
          </w:p>
        </w:tc>
        <w:tc>
          <w:tcPr>
            <w:tcW w:w="324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lang w:val="en-US" w:eastAsia="zh-CN"/>
              </w:rPr>
              <w:t>7</w:t>
            </w:r>
          </w:p>
        </w:tc>
        <w:tc>
          <w:tcPr>
            <w:tcW w:w="4328"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eastAsia="zh-CN"/>
              </w:rPr>
              <w:t>弯曲性能</w:t>
            </w:r>
          </w:p>
        </w:tc>
        <w:tc>
          <w:tcPr>
            <w:tcW w:w="3244"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Theme="minorEastAsia" w:hAnsiTheme="minorEastAsia" w:eastAsiaTheme="minorEastAsia" w:cstheme="minorEastAsia"/>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 w:hRule="atLeast"/>
        </w:trPr>
        <w:tc>
          <w:tcPr>
            <w:tcW w:w="101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lang w:val="en-US" w:eastAsia="zh-CN"/>
              </w:rPr>
              <w:t>8</w:t>
            </w:r>
          </w:p>
        </w:tc>
        <w:tc>
          <w:tcPr>
            <w:tcW w:w="4328"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eastAsia="zh-CN"/>
              </w:rPr>
              <w:t>反向弯曲性能</w:t>
            </w:r>
          </w:p>
        </w:tc>
        <w:tc>
          <w:tcPr>
            <w:tcW w:w="3244"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Theme="minorEastAsia" w:hAnsiTheme="minorEastAsia" w:eastAsiaTheme="minorEastAsia" w:cstheme="minorEastAsia"/>
                <w:bCs/>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lang w:val="en-US" w:eastAsia="zh-CN"/>
              </w:rPr>
              <w:t>9</w:t>
            </w:r>
          </w:p>
        </w:tc>
        <w:tc>
          <w:tcPr>
            <w:tcW w:w="4328"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eastAsia="zh-CN"/>
              </w:rPr>
              <w:t>重量偏差</w:t>
            </w:r>
          </w:p>
        </w:tc>
        <w:tc>
          <w:tcPr>
            <w:tcW w:w="3244"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GB 1499.2—20</w:t>
            </w:r>
            <w:r>
              <w:rPr>
                <w:rFonts w:hint="eastAsia" w:ascii="宋体" w:hAnsi="宋体" w:eastAsia="宋体" w:cs="宋体"/>
                <w:sz w:val="24"/>
                <w:szCs w:val="24"/>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1" w:hRule="atLeast"/>
        </w:trPr>
        <w:tc>
          <w:tcPr>
            <w:tcW w:w="101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4328"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eastAsia="zh-CN"/>
              </w:rPr>
              <w:t>表面质量</w:t>
            </w:r>
          </w:p>
        </w:tc>
        <w:tc>
          <w:tcPr>
            <w:tcW w:w="3244"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GB 1499.2—20</w:t>
            </w:r>
            <w:r>
              <w:rPr>
                <w:rFonts w:hint="eastAsia" w:ascii="宋体" w:hAnsi="宋体" w:eastAsia="宋体" w:cs="宋体"/>
                <w:sz w:val="24"/>
                <w:szCs w:val="24"/>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016"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2164"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化学</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成分</w:t>
            </w:r>
          </w:p>
        </w:tc>
        <w:tc>
          <w:tcPr>
            <w:tcW w:w="216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eastAsia="zh-CN"/>
              </w:rPr>
              <w:t>C</w:t>
            </w:r>
          </w:p>
        </w:tc>
        <w:tc>
          <w:tcPr>
            <w:tcW w:w="3244"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GB/T 223.5—2008</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GB/T 223.11—2008</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GB/T 223.12—1991</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GB/T 223.14—2000</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GB/T 223.19—1989</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GB/T 223.23—2008</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GB/T 223.26—2008</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GB/T 223.40—2007</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GB/T 223.59—2008</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GB/T 223.63—2022</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GB/T 223.85—2009</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GB/T 223.86—2009</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GB/T 4336—2016</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GB/T 20123—2006</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GB/T 20125—2006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016"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val="en-US" w:eastAsia="zh-CN"/>
              </w:rPr>
            </w:pPr>
          </w:p>
        </w:tc>
        <w:tc>
          <w:tcPr>
            <w:tcW w:w="2164"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eastAsia="zh-CN"/>
              </w:rPr>
            </w:pPr>
          </w:p>
        </w:tc>
        <w:tc>
          <w:tcPr>
            <w:tcW w:w="216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eastAsia="zh-CN"/>
              </w:rPr>
              <w:t>Si</w:t>
            </w:r>
          </w:p>
        </w:tc>
        <w:tc>
          <w:tcPr>
            <w:tcW w:w="3244"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016"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val="en-US" w:eastAsia="zh-CN"/>
              </w:rPr>
            </w:pPr>
          </w:p>
        </w:tc>
        <w:tc>
          <w:tcPr>
            <w:tcW w:w="2164"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eastAsia="zh-CN"/>
              </w:rPr>
            </w:pPr>
          </w:p>
        </w:tc>
        <w:tc>
          <w:tcPr>
            <w:tcW w:w="216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eastAsia="zh-CN"/>
              </w:rPr>
              <w:t>Mn</w:t>
            </w:r>
          </w:p>
        </w:tc>
        <w:tc>
          <w:tcPr>
            <w:tcW w:w="3244"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016"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val="en-US" w:eastAsia="zh-CN"/>
              </w:rPr>
            </w:pPr>
          </w:p>
        </w:tc>
        <w:tc>
          <w:tcPr>
            <w:tcW w:w="2164"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eastAsia="zh-CN"/>
              </w:rPr>
            </w:pPr>
          </w:p>
        </w:tc>
        <w:tc>
          <w:tcPr>
            <w:tcW w:w="216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eastAsia="zh-CN"/>
              </w:rPr>
              <w:t>P</w:t>
            </w:r>
          </w:p>
        </w:tc>
        <w:tc>
          <w:tcPr>
            <w:tcW w:w="3244"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016" w:type="dxa"/>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val="en-US" w:eastAsia="zh-CN"/>
              </w:rPr>
            </w:pPr>
          </w:p>
        </w:tc>
        <w:tc>
          <w:tcPr>
            <w:tcW w:w="2164"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eastAsia="zh-CN"/>
              </w:rPr>
            </w:pPr>
          </w:p>
        </w:tc>
        <w:tc>
          <w:tcPr>
            <w:tcW w:w="216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eastAsia="zh-CN"/>
              </w:rPr>
              <w:t>S</w:t>
            </w:r>
          </w:p>
        </w:tc>
        <w:tc>
          <w:tcPr>
            <w:tcW w:w="3244"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6"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4328"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eastAsia="zh-CN"/>
              </w:rPr>
              <w:t>碳当量</w:t>
            </w:r>
          </w:p>
        </w:tc>
        <w:tc>
          <w:tcPr>
            <w:tcW w:w="3244"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6"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4328"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eastAsia="zh-CN"/>
              </w:rPr>
              <w:t>金相组织</w:t>
            </w:r>
          </w:p>
        </w:tc>
        <w:tc>
          <w:tcPr>
            <w:tcW w:w="3244"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GB 1499.2—20</w:t>
            </w:r>
            <w:r>
              <w:rPr>
                <w:rFonts w:hint="eastAsia" w:ascii="宋体" w:hAnsi="宋体" w:eastAsia="宋体" w:cs="宋体"/>
                <w:sz w:val="24"/>
                <w:szCs w:val="24"/>
                <w:lang w:val="en-US" w:eastAsia="zh-CN"/>
              </w:rPr>
              <w:t>24</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GB/T 13298—2015</w:t>
            </w:r>
          </w:p>
        </w:tc>
      </w:tr>
    </w:tbl>
    <w:p>
      <w:pPr>
        <w:keepNext w:val="0"/>
        <w:keepLines w:val="0"/>
        <w:pageBreakBefore w:val="0"/>
        <w:widowControl/>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2.热轧光圆钢筋</w:t>
      </w:r>
    </w:p>
    <w:tbl>
      <w:tblPr>
        <w:tblStyle w:val="8"/>
        <w:tblW w:w="85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9"/>
        <w:gridCol w:w="1857"/>
        <w:gridCol w:w="1857"/>
        <w:gridCol w:w="3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dxa"/>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eastAsia="zh-CN"/>
              </w:rPr>
              <w:t>序号</w:t>
            </w:r>
          </w:p>
        </w:tc>
        <w:tc>
          <w:tcPr>
            <w:tcW w:w="3714" w:type="dxa"/>
            <w:gridSpan w:val="2"/>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eastAsia="zh-CN"/>
              </w:rPr>
              <w:t>检验项目</w:t>
            </w:r>
          </w:p>
        </w:tc>
        <w:tc>
          <w:tcPr>
            <w:tcW w:w="3252" w:type="dxa"/>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dxa"/>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eastAsia="zh-CN"/>
              </w:rPr>
              <w:t>1</w:t>
            </w:r>
          </w:p>
        </w:tc>
        <w:tc>
          <w:tcPr>
            <w:tcW w:w="3714" w:type="dxa"/>
            <w:gridSpan w:val="2"/>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eastAsia="zh-CN"/>
              </w:rPr>
              <w:t>下屈服强度</w:t>
            </w:r>
          </w:p>
        </w:tc>
        <w:tc>
          <w:tcPr>
            <w:tcW w:w="3252" w:type="dxa"/>
            <w:vMerge w:val="restart"/>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GB 1499.1—20</w:t>
            </w:r>
            <w:r>
              <w:rPr>
                <w:rFonts w:hint="eastAsia" w:ascii="宋体" w:hAnsi="宋体" w:eastAsia="宋体" w:cs="宋体"/>
                <w:sz w:val="24"/>
                <w:szCs w:val="24"/>
                <w:lang w:val="en-US" w:eastAsia="zh-CN"/>
              </w:rPr>
              <w:t>24</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eastAsia="zh-CN"/>
              </w:rPr>
              <w:t>GB/T 28900—2022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dxa"/>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eastAsia="zh-CN"/>
              </w:rPr>
              <w:t>2</w:t>
            </w:r>
          </w:p>
        </w:tc>
        <w:tc>
          <w:tcPr>
            <w:tcW w:w="3714" w:type="dxa"/>
            <w:gridSpan w:val="2"/>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eastAsia="zh-CN"/>
              </w:rPr>
              <w:t>抗拉强度</w:t>
            </w:r>
          </w:p>
        </w:tc>
        <w:tc>
          <w:tcPr>
            <w:tcW w:w="3252" w:type="dxa"/>
            <w:vMerge w:val="continue"/>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09" w:type="dxa"/>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eastAsia="zh-CN"/>
              </w:rPr>
              <w:t>3</w:t>
            </w:r>
          </w:p>
        </w:tc>
        <w:tc>
          <w:tcPr>
            <w:tcW w:w="3714" w:type="dxa"/>
            <w:gridSpan w:val="2"/>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eastAsia="zh-CN"/>
              </w:rPr>
              <w:t>断后伸长率</w:t>
            </w:r>
          </w:p>
        </w:tc>
        <w:tc>
          <w:tcPr>
            <w:tcW w:w="3252" w:type="dxa"/>
            <w:vMerge w:val="continue"/>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dxa"/>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eastAsia="zh-CN"/>
              </w:rPr>
              <w:t>4</w:t>
            </w:r>
          </w:p>
        </w:tc>
        <w:tc>
          <w:tcPr>
            <w:tcW w:w="3714" w:type="dxa"/>
            <w:gridSpan w:val="2"/>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eastAsia="zh-CN"/>
              </w:rPr>
              <w:t>最大力总延伸率</w:t>
            </w:r>
          </w:p>
        </w:tc>
        <w:tc>
          <w:tcPr>
            <w:tcW w:w="3252" w:type="dxa"/>
            <w:vMerge w:val="continue"/>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dxa"/>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eastAsia="zh-CN"/>
              </w:rPr>
              <w:t>5</w:t>
            </w:r>
          </w:p>
        </w:tc>
        <w:tc>
          <w:tcPr>
            <w:tcW w:w="3714" w:type="dxa"/>
            <w:gridSpan w:val="2"/>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eastAsia="zh-CN"/>
              </w:rPr>
              <w:t>弯曲性能</w:t>
            </w:r>
          </w:p>
        </w:tc>
        <w:tc>
          <w:tcPr>
            <w:tcW w:w="3252" w:type="dxa"/>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GB 1499.1—20</w:t>
            </w:r>
            <w:r>
              <w:rPr>
                <w:rFonts w:hint="eastAsia" w:ascii="宋体" w:hAnsi="宋体" w:eastAsia="宋体" w:cs="宋体"/>
                <w:sz w:val="24"/>
                <w:szCs w:val="24"/>
                <w:lang w:val="en-US" w:eastAsia="zh-CN"/>
              </w:rPr>
              <w:t>24</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eastAsia="zh-CN"/>
              </w:rPr>
              <w:t>GB/T 28900—2022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609" w:type="dxa"/>
            <w:vMerge w:val="restart"/>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857" w:type="dxa"/>
            <w:vMerge w:val="restart"/>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化学</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成分</w:t>
            </w:r>
          </w:p>
        </w:tc>
        <w:tc>
          <w:tcPr>
            <w:tcW w:w="1857" w:type="dxa"/>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C</w:t>
            </w:r>
          </w:p>
        </w:tc>
        <w:tc>
          <w:tcPr>
            <w:tcW w:w="3252" w:type="dxa"/>
            <w:vMerge w:val="restart"/>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GB/T 223.5—2008</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GB/T 223.59—2008</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GB/T 223.63—2022</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GB/T 223.85—2009</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GB/T 223.86—2009</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GB/T 4336—2016</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GB/T 20123—2006</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eastAsia="zh-CN"/>
              </w:rPr>
              <w:t>GB/T 20125—2006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60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eastAsia="zh-CN"/>
              </w:rPr>
            </w:pPr>
          </w:p>
        </w:tc>
        <w:tc>
          <w:tcPr>
            <w:tcW w:w="1857"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eastAsia="zh-CN"/>
              </w:rPr>
            </w:pPr>
          </w:p>
        </w:tc>
        <w:tc>
          <w:tcPr>
            <w:tcW w:w="1857" w:type="dxa"/>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Si</w:t>
            </w:r>
          </w:p>
        </w:tc>
        <w:tc>
          <w:tcPr>
            <w:tcW w:w="3252" w:type="dxa"/>
            <w:vMerge w:val="continue"/>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60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eastAsia="zh-CN"/>
              </w:rPr>
            </w:pPr>
          </w:p>
        </w:tc>
        <w:tc>
          <w:tcPr>
            <w:tcW w:w="1857"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eastAsia="zh-CN"/>
              </w:rPr>
            </w:pPr>
          </w:p>
        </w:tc>
        <w:tc>
          <w:tcPr>
            <w:tcW w:w="1857" w:type="dxa"/>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Mn</w:t>
            </w:r>
          </w:p>
        </w:tc>
        <w:tc>
          <w:tcPr>
            <w:tcW w:w="3252" w:type="dxa"/>
            <w:vMerge w:val="continue"/>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60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eastAsia="zh-CN"/>
              </w:rPr>
            </w:pPr>
          </w:p>
        </w:tc>
        <w:tc>
          <w:tcPr>
            <w:tcW w:w="1857"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eastAsia="zh-CN"/>
              </w:rPr>
            </w:pPr>
          </w:p>
        </w:tc>
        <w:tc>
          <w:tcPr>
            <w:tcW w:w="1857" w:type="dxa"/>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P</w:t>
            </w:r>
          </w:p>
        </w:tc>
        <w:tc>
          <w:tcPr>
            <w:tcW w:w="3252" w:type="dxa"/>
            <w:vMerge w:val="continue"/>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60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eastAsia="zh-CN"/>
              </w:rPr>
            </w:pPr>
          </w:p>
        </w:tc>
        <w:tc>
          <w:tcPr>
            <w:tcW w:w="1857"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eastAsia="zh-CN"/>
              </w:rPr>
            </w:pPr>
          </w:p>
        </w:tc>
        <w:tc>
          <w:tcPr>
            <w:tcW w:w="1857" w:type="dxa"/>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S</w:t>
            </w:r>
          </w:p>
        </w:tc>
        <w:tc>
          <w:tcPr>
            <w:tcW w:w="3252" w:type="dxa"/>
            <w:vMerge w:val="continue"/>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dxa"/>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3714"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eastAsia="zh-CN"/>
              </w:rPr>
              <w:t>重量偏差</w:t>
            </w:r>
          </w:p>
        </w:tc>
        <w:tc>
          <w:tcPr>
            <w:tcW w:w="3252" w:type="dxa"/>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eastAsia="zh-CN"/>
              </w:rPr>
              <w:t>GB 1499.1—20</w:t>
            </w:r>
            <w:r>
              <w:rPr>
                <w:rFonts w:hint="eastAsia" w:ascii="宋体" w:hAnsi="宋体" w:eastAsia="宋体" w:cs="宋体"/>
                <w:sz w:val="24"/>
                <w:szCs w:val="24"/>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9" w:type="dxa"/>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3714"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eastAsia="zh-CN"/>
              </w:rPr>
              <w:t>表面质量</w:t>
            </w:r>
          </w:p>
        </w:tc>
        <w:tc>
          <w:tcPr>
            <w:tcW w:w="3252" w:type="dxa"/>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eastAsia="zh-CN"/>
              </w:rPr>
              <w:t>GB 1499.1—20</w:t>
            </w:r>
            <w:r>
              <w:rPr>
                <w:rFonts w:hint="eastAsia" w:ascii="宋体" w:hAnsi="宋体" w:eastAsia="宋体" w:cs="宋体"/>
                <w:sz w:val="24"/>
                <w:szCs w:val="24"/>
                <w:lang w:val="en-US" w:eastAsia="zh-CN"/>
              </w:rPr>
              <w:t>24</w:t>
            </w:r>
          </w:p>
        </w:tc>
      </w:tr>
    </w:tbl>
    <w:p>
      <w:pPr>
        <w:keepNext w:val="0"/>
        <w:keepLines w:val="0"/>
        <w:pageBreakBefore w:val="0"/>
        <w:widowControl/>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注：执行企业标准、团体标准、地方标准的产品，检验项目参照上述内容执行。</w:t>
      </w:r>
    </w:p>
    <w:p>
      <w:pPr>
        <w:keepNext w:val="0"/>
        <w:keepLines w:val="0"/>
        <w:pageBreakBefore w:val="0"/>
        <w:widowControl/>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凡是注日期的文件，其随后所有的修改单（不包括勘误的内容）或修订版</w:t>
      </w:r>
      <w:r>
        <w:rPr>
          <w:rFonts w:hint="eastAsia" w:ascii="仿宋_GB2312" w:hAnsi="仿宋_GB2312" w:cs="仿宋_GB2312"/>
          <w:kern w:val="0"/>
          <w:sz w:val="32"/>
          <w:szCs w:val="32"/>
          <w:lang w:val="en-US" w:eastAsia="zh-CN"/>
        </w:rPr>
        <w:t>均</w:t>
      </w:r>
      <w:r>
        <w:rPr>
          <w:rFonts w:hint="eastAsia" w:ascii="仿宋_GB2312" w:hAnsi="仿宋_GB2312" w:eastAsia="仿宋_GB2312" w:cs="仿宋_GB2312"/>
          <w:kern w:val="0"/>
          <w:sz w:val="32"/>
          <w:szCs w:val="32"/>
          <w:lang w:val="en-US" w:eastAsia="zh-CN"/>
        </w:rPr>
        <w:t>不适用于本细则。凡是不注日期的文件，其最新版本适用于本细则。</w:t>
      </w:r>
    </w:p>
    <w:p>
      <w:pPr>
        <w:keepNext w:val="0"/>
        <w:keepLines w:val="0"/>
        <w:pageBreakBefore w:val="0"/>
        <w:widowControl/>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三、判定规则</w:t>
      </w:r>
    </w:p>
    <w:p>
      <w:pPr>
        <w:keepNext w:val="0"/>
        <w:keepLines w:val="0"/>
        <w:pageBreakBefore w:val="0"/>
        <w:widowControl/>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（一）依据标准</w:t>
      </w:r>
    </w:p>
    <w:p>
      <w:pPr>
        <w:keepNext w:val="0"/>
        <w:keepLines w:val="0"/>
        <w:pageBreakBefore w:val="0"/>
        <w:widowControl/>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GB 1499.1-2024 钢筋混凝土用钢 第1部分：热轧光圆钢筋</w:t>
      </w:r>
    </w:p>
    <w:p>
      <w:pPr>
        <w:keepNext w:val="0"/>
        <w:keepLines w:val="0"/>
        <w:pageBreakBefore w:val="0"/>
        <w:widowControl/>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GB 1499.2-2024 钢筋混凝土用钢 第2部分：热轧带肋钢筋</w:t>
      </w:r>
    </w:p>
    <w:p>
      <w:pPr>
        <w:keepNext w:val="0"/>
        <w:keepLines w:val="0"/>
        <w:pageBreakBefore w:val="0"/>
        <w:widowControl/>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现行有效的企业标准、团体标准、地方标准及产品明示质量要求。</w:t>
      </w:r>
    </w:p>
    <w:p>
      <w:pPr>
        <w:keepNext w:val="0"/>
        <w:keepLines w:val="0"/>
        <w:pageBreakBefore w:val="0"/>
        <w:widowControl/>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（二）判定原则</w:t>
      </w:r>
    </w:p>
    <w:p>
      <w:pPr>
        <w:keepNext w:val="0"/>
        <w:keepLines w:val="0"/>
        <w:pageBreakBefore w:val="0"/>
        <w:widowControl/>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经检验，检验项目全部合格，判定为被抽查产品所检项目未发现不合格；检验项目中任一项或一项以上不合格，判定为被抽查产品不合格。</w:t>
      </w:r>
    </w:p>
    <w:p>
      <w:pPr>
        <w:keepNext w:val="0"/>
        <w:keepLines w:val="0"/>
        <w:pageBreakBefore w:val="0"/>
        <w:widowControl/>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若被检产品明示的质量要求高于本细则中检验项目依据的标准要求时，应按被检产品明示的质量要求判定。</w:t>
      </w:r>
    </w:p>
    <w:p>
      <w:pPr>
        <w:keepNext w:val="0"/>
        <w:keepLines w:val="0"/>
        <w:pageBreakBefore w:val="0"/>
        <w:widowControl/>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若被检产品明示的质量要求低于本细则中检验项目依据的强制性标准要求时，应按照强制性标准要求判定。</w:t>
      </w:r>
    </w:p>
    <w:p>
      <w:pPr>
        <w:keepNext w:val="0"/>
        <w:keepLines w:val="0"/>
        <w:pageBreakBefore w:val="0"/>
        <w:widowControl/>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若被检产品明示的质量要求低于或包含本细则中检验项目依据的推荐性标准要求时，应以被检产品明示的质量要求判定。</w:t>
      </w:r>
    </w:p>
    <w:p>
      <w:pPr>
        <w:keepNext w:val="0"/>
        <w:keepLines w:val="0"/>
        <w:pageBreakBefore w:val="0"/>
        <w:widowControl/>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若被检产品明示的质量要求缺少本细则中检验项目依据的强制性标准要求时，应按照强制性标准要求判定。</w:t>
      </w:r>
    </w:p>
    <w:p>
      <w:pPr>
        <w:keepNext w:val="0"/>
        <w:keepLines w:val="0"/>
        <w:pageBreakBefore w:val="0"/>
        <w:widowControl/>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若被检产品明示的质量要求缺少本细则中检验项目依据的推荐性标准要求时，该项目不参与判定。</w:t>
      </w:r>
    </w:p>
    <w:p>
      <w:pPr>
        <w:keepNext w:val="0"/>
        <w:keepLines w:val="0"/>
        <w:pageBreakBefore w:val="0"/>
        <w:widowControl/>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kern w:val="0"/>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国标黑体">
    <w:panose1 w:val="02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true"/>
  <w:bordersDoNotSurroundFooter w:val="true"/>
  <w:documentProtection w:enforcement="0"/>
  <w:defaultTabStop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hNjU4MDcyMDVmMTlhMTNkN2UzOGFjZWNiZjIwYWQifQ=="/>
  </w:docVars>
  <w:rsids>
    <w:rsidRoot w:val="00FA122C"/>
    <w:rsid w:val="00092474"/>
    <w:rsid w:val="00381DA8"/>
    <w:rsid w:val="003B6A09"/>
    <w:rsid w:val="004017B7"/>
    <w:rsid w:val="00677471"/>
    <w:rsid w:val="00A11EB0"/>
    <w:rsid w:val="00CC2AE2"/>
    <w:rsid w:val="00DC1206"/>
    <w:rsid w:val="00DF64CE"/>
    <w:rsid w:val="00EA3AF9"/>
    <w:rsid w:val="00FA122C"/>
    <w:rsid w:val="01537940"/>
    <w:rsid w:val="021358C1"/>
    <w:rsid w:val="08731931"/>
    <w:rsid w:val="0B6C0305"/>
    <w:rsid w:val="1218500E"/>
    <w:rsid w:val="186B2B9A"/>
    <w:rsid w:val="22B54A03"/>
    <w:rsid w:val="24A34751"/>
    <w:rsid w:val="282C019E"/>
    <w:rsid w:val="288F6410"/>
    <w:rsid w:val="2CEA0E1E"/>
    <w:rsid w:val="2DFA1297"/>
    <w:rsid w:val="339B107F"/>
    <w:rsid w:val="365A285D"/>
    <w:rsid w:val="38A256E7"/>
    <w:rsid w:val="3C315A4B"/>
    <w:rsid w:val="3C6D13A1"/>
    <w:rsid w:val="407A001C"/>
    <w:rsid w:val="46B303F3"/>
    <w:rsid w:val="4ADC62C2"/>
    <w:rsid w:val="4BF85790"/>
    <w:rsid w:val="4C1179C0"/>
    <w:rsid w:val="522D26A6"/>
    <w:rsid w:val="55BE419C"/>
    <w:rsid w:val="562F2BA3"/>
    <w:rsid w:val="56EF7207"/>
    <w:rsid w:val="590233BD"/>
    <w:rsid w:val="5B2F5C7D"/>
    <w:rsid w:val="5FD575A3"/>
    <w:rsid w:val="607D6EEC"/>
    <w:rsid w:val="61104296"/>
    <w:rsid w:val="612A5E5D"/>
    <w:rsid w:val="6A9C0E67"/>
    <w:rsid w:val="6E0818B5"/>
    <w:rsid w:val="6EEE5A3B"/>
    <w:rsid w:val="702B55B7"/>
    <w:rsid w:val="7906664A"/>
    <w:rsid w:val="7A5A73C0"/>
    <w:rsid w:val="7B6315DB"/>
    <w:rsid w:val="7FFDBA7E"/>
    <w:rsid w:val="BE7F16B8"/>
    <w:rsid w:val="EFD738F4"/>
    <w:rsid w:val="F643269F"/>
    <w:rsid w:val="F7E62283"/>
    <w:rsid w:val="FB571741"/>
    <w:rsid w:val="FCDF8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jc w:val="center"/>
      <w:outlineLvl w:val="0"/>
    </w:pPr>
    <w:rPr>
      <w:rFonts w:ascii="方正小标宋简体" w:eastAsia="方正小标宋简体"/>
      <w:kern w:val="44"/>
      <w:sz w:val="3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left="720"/>
    </w:pPr>
  </w:style>
  <w:style w:type="paragraph" w:styleId="4">
    <w:name w:val="Plain Text"/>
    <w:basedOn w:val="1"/>
    <w:qFormat/>
    <w:uiPriority w:val="0"/>
    <w:pPr>
      <w:widowControl w:val="0"/>
      <w:jc w:val="both"/>
    </w:pPr>
    <w:rPr>
      <w:rFonts w:ascii="宋体" w:hAnsi="Courier New" w:eastAsia="宋体" w:cs="Times New Roman"/>
      <w:kern w:val="2"/>
      <w:sz w:val="32"/>
      <w:szCs w:val="21"/>
      <w:lang w:val="en-US" w:eastAsia="zh-CN" w:bidi="ar-SA"/>
    </w:rPr>
  </w:style>
  <w:style w:type="paragraph" w:styleId="5">
    <w:name w:val="footer"/>
    <w:basedOn w:val="1"/>
    <w:link w:val="10"/>
    <w:qFormat/>
    <w:uiPriority w:val="0"/>
    <w:pPr>
      <w:tabs>
        <w:tab w:val="center" w:pos="4153"/>
        <w:tab w:val="right" w:pos="8306"/>
      </w:tabs>
      <w:snapToGrid w:val="0"/>
      <w:jc w:val="left"/>
    </w:pPr>
    <w:rPr>
      <w:sz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脚 Char"/>
    <w:basedOn w:val="9"/>
    <w:link w:val="5"/>
    <w:qFormat/>
    <w:uiPriority w:val="0"/>
    <w:rPr>
      <w:rFonts w:ascii="Times New Roman" w:hAnsi="Times New Roman" w:eastAsia="仿宋_GB2312" w:cs="Times New Roman"/>
      <w:sz w:val="18"/>
      <w:szCs w:val="24"/>
    </w:rPr>
  </w:style>
  <w:style w:type="paragraph" w:customStyle="1" w:styleId="11">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kern w:val="2"/>
      <w:sz w:val="21"/>
      <w:szCs w:val="22"/>
      <w:lang w:val="en-US" w:eastAsia="zh-CN" w:bidi="ar-SA"/>
    </w:rPr>
  </w:style>
  <w:style w:type="paragraph" w:customStyle="1" w:styleId="12">
    <w:name w:val="一级条标题"/>
    <w:next w:val="11"/>
    <w:qFormat/>
    <w:uiPriority w:val="0"/>
    <w:pPr>
      <w:spacing w:beforeLines="50" w:afterLines="50"/>
      <w:ind w:left="716"/>
      <w:outlineLvl w:val="2"/>
    </w:pPr>
    <w:rPr>
      <w:rFonts w:ascii="黑体" w:hAnsi="Calibri" w:eastAsia="黑体" w:cs="Times New Roman"/>
      <w:kern w:val="0"/>
      <w:sz w:val="21"/>
      <w:szCs w:val="21"/>
      <w:lang w:val="en-US" w:eastAsia="zh-CN" w:bidi="ar-SA"/>
    </w:rPr>
  </w:style>
  <w:style w:type="paragraph" w:customStyle="1" w:styleId="13">
    <w:name w:val="二级条标题"/>
    <w:basedOn w:val="12"/>
    <w:next w:val="11"/>
    <w:qFormat/>
    <w:uiPriority w:val="0"/>
    <w:pPr>
      <w:spacing w:before="50" w:after="50"/>
      <w:outlineLvl w:val="3"/>
    </w:pPr>
  </w:style>
  <w:style w:type="paragraph" w:customStyle="1" w:styleId="14">
    <w:name w:val="列出段落2"/>
    <w:basedOn w:val="1"/>
    <w:unhideWhenUsed/>
    <w:qFormat/>
    <w:uiPriority w:val="99"/>
    <w:pPr>
      <w:ind w:firstLine="420" w:firstLineChars="200"/>
    </w:pPr>
    <w:rPr>
      <w:sz w:val="30"/>
    </w:rPr>
  </w:style>
  <w:style w:type="paragraph" w:customStyle="1" w:styleId="15">
    <w:name w:val="Table Paragraph"/>
    <w:basedOn w:val="1"/>
    <w:qFormat/>
    <w:uiPriority w:val="0"/>
    <w:pPr>
      <w:jc w:val="left"/>
    </w:pPr>
    <w:rPr>
      <w:rFonts w:ascii="Calibri" w:hAnsi="Calibri"/>
      <w:kern w:val="0"/>
      <w:sz w:val="22"/>
      <w:szCs w:val="22"/>
      <w:lang w:eastAsia="en-US"/>
    </w:rPr>
  </w:style>
  <w:style w:type="character" w:customStyle="1" w:styleId="16">
    <w:name w:val="页眉 Char"/>
    <w:basedOn w:val="9"/>
    <w:link w:val="6"/>
    <w:qFormat/>
    <w:uiPriority w:val="0"/>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1871</Words>
  <Characters>2048</Characters>
  <Lines>23</Lines>
  <Paragraphs>6</Paragraphs>
  <TotalTime>81</TotalTime>
  <ScaleCrop>false</ScaleCrop>
  <LinksUpToDate>false</LinksUpToDate>
  <CharactersWithSpaces>2086</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2020-07-23T09:55:00Z</dcterms:created>
  <dc:creator>zyw</dc:creator>
  <cp:lastModifiedBy>dxkj</cp:lastModifiedBy>
  <cp:lastPrinted>2025-04-30T10:52:29Z</cp:lastPrinted>
  <dcterms:modified xsi:type="dcterms:W3CDTF">2025-04-30T10:52:58Z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7189992C6424431B8EB2353DEE95D5D2_13</vt:lpwstr>
  </property>
  <property fmtid="{D5CDD505-2E9C-101B-9397-08002B2CF9AE}" pid="4" name="KSOTemplateDocerSaveRecord">
    <vt:lpwstr>eyJoZGlkIjoiMzBkYTFlYjhmNGZiMzBjMzk5MWVhMWEyMTU3OWU2MWQiLCJ1c2VySWQiOiIyMzEzOTcxMjkifQ==</vt:lpwstr>
  </property>
</Properties>
</file>